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D8DB7" w14:textId="77777777" w:rsidR="0031121E" w:rsidRPr="00D654F7" w:rsidRDefault="00B9221C" w:rsidP="00D52B6B">
      <w:pPr>
        <w:pBdr>
          <w:top w:val="single" w:sz="4" w:space="1" w:color="auto"/>
          <w:left w:val="nil"/>
          <w:bottom w:val="single" w:sz="4" w:space="1" w:color="auto"/>
          <w:right w:val="nil"/>
          <w:between w:val="nil"/>
        </w:pBdr>
        <w:spacing w:after="0" w:line="240" w:lineRule="auto"/>
        <w:jc w:val="center"/>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The Influence of Employee Involvement and Perceived Usefulness of CSR Programs on Employee Retention with the Mediation of Work Meaning</w:t>
      </w:r>
    </w:p>
    <w:p w14:paraId="1D225E94" w14:textId="77777777" w:rsidR="0031121E" w:rsidRPr="00D654F7" w:rsidRDefault="00B9221C" w:rsidP="00D52B6B">
      <w:pPr>
        <w:pBdr>
          <w:top w:val="single" w:sz="4" w:space="1" w:color="auto"/>
          <w:left w:val="nil"/>
          <w:bottom w:val="single" w:sz="4" w:space="1" w:color="auto"/>
          <w:right w:val="nil"/>
          <w:between w:val="nil"/>
        </w:pBdr>
        <w:spacing w:after="0" w:line="240" w:lineRule="auto"/>
        <w:jc w:val="center"/>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(Case Study of Indocement's Digital-Based Waste Alms Program)</w:t>
      </w:r>
    </w:p>
    <w:p w14:paraId="4A9316FA" w14:textId="77777777" w:rsidR="0031121E" w:rsidRPr="00D654F7" w:rsidRDefault="0031121E" w:rsidP="00D52B6B">
      <w:pPr>
        <w:spacing w:after="0" w:line="240" w:lineRule="auto"/>
        <w:jc w:val="center"/>
        <w:rPr>
          <w:rFonts w:ascii="Book Antiqua" w:hAnsi="Book Antiqua" w:cs="Times New Roman"/>
          <w:sz w:val="24"/>
          <w:szCs w:val="24"/>
        </w:rPr>
      </w:pPr>
    </w:p>
    <w:p w14:paraId="07E5578B" w14:textId="77777777" w:rsidR="0031121E" w:rsidRPr="00D654F7" w:rsidRDefault="00B9221C" w:rsidP="00D52B6B">
      <w:pPr>
        <w:pBdr>
          <w:top w:val="nil"/>
          <w:left w:val="nil"/>
          <w:bottom w:val="nil"/>
          <w:right w:val="nil"/>
          <w:between w:val="nil"/>
        </w:pBdr>
        <w:spacing w:after="0" w:line="240" w:lineRule="auto"/>
        <w:jc w:val="center"/>
        <w:rPr>
          <w:rFonts w:ascii="Book Antiqua" w:eastAsia="Times New Roman" w:hAnsi="Book Antiqua" w:cs="Times New Roman"/>
          <w:b/>
          <w:bCs/>
          <w:color w:val="000000"/>
          <w:sz w:val="24"/>
          <w:szCs w:val="24"/>
          <w:vertAlign w:val="subscript"/>
        </w:rPr>
      </w:pPr>
      <w:r w:rsidRPr="00D654F7">
        <w:rPr>
          <w:rFonts w:ascii="Book Antiqua" w:eastAsia="Times New Roman" w:hAnsi="Book Antiqua" w:cs="Times New Roman"/>
          <w:b/>
          <w:bCs/>
          <w:color w:val="000000"/>
          <w:sz w:val="24"/>
          <w:szCs w:val="24"/>
        </w:rPr>
        <w:t>Endah Susilowati</w:t>
      </w:r>
      <w:r w:rsidRPr="00226691">
        <w:rPr>
          <w:rFonts w:ascii="Book Antiqua" w:eastAsia="Times New Roman" w:hAnsi="Book Antiqua" w:cs="Times New Roman"/>
          <w:b/>
          <w:bCs/>
          <w:color w:val="000000"/>
          <w:sz w:val="24"/>
          <w:szCs w:val="24"/>
          <w:vertAlign w:val="superscript"/>
        </w:rPr>
        <w:t>1</w:t>
      </w:r>
      <w:r w:rsidRPr="00D654F7">
        <w:rPr>
          <w:rFonts w:ascii="Book Antiqua" w:eastAsia="Times New Roman" w:hAnsi="Book Antiqua" w:cs="Times New Roman"/>
          <w:b/>
          <w:bCs/>
          <w:color w:val="000000"/>
          <w:sz w:val="24"/>
          <w:szCs w:val="24"/>
        </w:rPr>
        <w:t>, Damelia Basauli Tambunan</w:t>
      </w:r>
      <w:r w:rsidRPr="00226691">
        <w:rPr>
          <w:rFonts w:ascii="Book Antiqua" w:eastAsia="Times New Roman" w:hAnsi="Book Antiqua" w:cs="Times New Roman"/>
          <w:b/>
          <w:bCs/>
          <w:color w:val="000000"/>
          <w:sz w:val="24"/>
          <w:szCs w:val="24"/>
          <w:vertAlign w:val="superscript"/>
        </w:rPr>
        <w:t>2</w:t>
      </w:r>
      <w:r w:rsidRPr="00D654F7">
        <w:rPr>
          <w:rFonts w:ascii="Book Antiqua" w:eastAsia="Times New Roman" w:hAnsi="Book Antiqua" w:cs="Times New Roman"/>
          <w:b/>
          <w:bCs/>
          <w:color w:val="000000"/>
          <w:sz w:val="24"/>
          <w:szCs w:val="24"/>
        </w:rPr>
        <w:t>, Romauli Nainggolan</w:t>
      </w:r>
      <w:r w:rsidRPr="00226691">
        <w:rPr>
          <w:rFonts w:ascii="Book Antiqua" w:eastAsia="Times New Roman" w:hAnsi="Book Antiqua" w:cs="Times New Roman"/>
          <w:b/>
          <w:bCs/>
          <w:color w:val="000000"/>
          <w:sz w:val="24"/>
          <w:szCs w:val="24"/>
          <w:vertAlign w:val="superscript"/>
        </w:rPr>
        <w:t>3</w:t>
      </w:r>
    </w:p>
    <w:p w14:paraId="045C1BB5" w14:textId="77777777" w:rsidR="0031121E" w:rsidRPr="00D654F7" w:rsidRDefault="00B9221C" w:rsidP="00D52B6B">
      <w:pPr>
        <w:pBdr>
          <w:top w:val="nil"/>
          <w:left w:val="nil"/>
          <w:bottom w:val="nil"/>
          <w:right w:val="nil"/>
          <w:between w:val="nil"/>
        </w:pBdr>
        <w:spacing w:after="0" w:line="240" w:lineRule="auto"/>
        <w:jc w:val="center"/>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vertAlign w:val="superscript"/>
        </w:rPr>
        <w:t>1,2,3</w:t>
      </w:r>
      <w:r w:rsidRPr="00D654F7">
        <w:rPr>
          <w:rFonts w:ascii="Book Antiqua" w:eastAsia="Times New Roman" w:hAnsi="Book Antiqua" w:cs="Times New Roman"/>
          <w:color w:val="000000"/>
          <w:sz w:val="24"/>
          <w:szCs w:val="24"/>
        </w:rPr>
        <w:t>Ciputra University Surabaya</w:t>
      </w:r>
    </w:p>
    <w:p w14:paraId="5C9FA8AC" w14:textId="22BFD87C" w:rsidR="0031121E" w:rsidRPr="00D654F7" w:rsidRDefault="00A35434" w:rsidP="00D52B6B">
      <w:pPr>
        <w:spacing w:after="0" w:line="240" w:lineRule="auto"/>
        <w:jc w:val="center"/>
        <w:rPr>
          <w:rFonts w:ascii="Book Antiqua" w:eastAsia="Times New Roman" w:hAnsi="Book Antiqua" w:cs="Times New Roman"/>
          <w:sz w:val="24"/>
          <w:szCs w:val="24"/>
        </w:rPr>
      </w:pPr>
      <w:r>
        <w:rPr>
          <w:rFonts w:ascii="Book Antiqua" w:eastAsia="Times New Roman" w:hAnsi="Book Antiqua" w:cs="Times New Roman"/>
          <w:sz w:val="24"/>
          <w:szCs w:val="24"/>
        </w:rPr>
        <w:t>E-mail:</w:t>
      </w:r>
      <w:r w:rsidR="00FD1DFF">
        <w:rPr>
          <w:rFonts w:ascii="Book Antiqua" w:eastAsia="Times New Roman" w:hAnsi="Book Antiqua" w:cs="Times New Roman"/>
          <w:sz w:val="24"/>
          <w:szCs w:val="24"/>
        </w:rPr>
        <w:t xml:space="preserve"> </w:t>
      </w:r>
      <w:hyperlink r:id="rId9">
        <w:r w:rsidR="00B9221C" w:rsidRPr="00D654F7">
          <w:rPr>
            <w:rFonts w:ascii="Book Antiqua" w:hAnsi="Book Antiqua" w:cs="Times New Roman"/>
            <w:color w:val="0000FF"/>
            <w:sz w:val="24"/>
            <w:szCs w:val="24"/>
            <w:u w:val="single"/>
          </w:rPr>
          <w:t>damelina@ciputra.ac.id</w:t>
        </w:r>
      </w:hyperlink>
    </w:p>
    <w:p w14:paraId="7416B7FB" w14:textId="77777777" w:rsidR="0031121E" w:rsidRPr="00D654F7" w:rsidRDefault="0031121E" w:rsidP="00D52B6B">
      <w:pPr>
        <w:spacing w:after="0" w:line="240" w:lineRule="auto"/>
        <w:rPr>
          <w:rFonts w:ascii="Book Antiqua" w:eastAsia="Times New Roman" w:hAnsi="Book Antiqua" w:cs="Times New Roman"/>
          <w:i/>
          <w:iCs/>
          <w:sz w:val="24"/>
          <w:szCs w:val="24"/>
        </w:rPr>
      </w:pPr>
    </w:p>
    <w:p w14:paraId="269D0ECC" w14:textId="77777777" w:rsidR="00A90037" w:rsidRPr="00A90037" w:rsidRDefault="00A90037" w:rsidP="00A90037">
      <w:pPr>
        <w:spacing w:after="0" w:line="240" w:lineRule="auto"/>
        <w:jc w:val="center"/>
        <w:rPr>
          <w:rFonts w:ascii="Book Antiqua" w:eastAsia="Times New Roman" w:hAnsi="Book Antiqua" w:cs="Times New Roman"/>
          <w:b/>
          <w:bCs/>
          <w:sz w:val="24"/>
          <w:szCs w:val="24"/>
        </w:rPr>
      </w:pPr>
      <w:r>
        <w:rPr>
          <w:rFonts w:ascii="Book Antiqua" w:eastAsia="Times New Roman" w:hAnsi="Book Antiqua" w:cs="Times New Roman"/>
          <w:b/>
          <w:bCs/>
          <w:sz w:val="24"/>
          <w:szCs w:val="24"/>
        </w:rPr>
        <w:t>ABSTRACT</w:t>
      </w:r>
    </w:p>
    <w:p w14:paraId="724D7043" w14:textId="77777777" w:rsidR="00A90037" w:rsidRPr="00A90037" w:rsidRDefault="00A90037" w:rsidP="00A90037">
      <w:pPr>
        <w:spacing w:after="0" w:line="240" w:lineRule="auto"/>
        <w:jc w:val="both"/>
        <w:rPr>
          <w:rFonts w:ascii="Book Antiqua" w:eastAsia="Times New Roman" w:hAnsi="Book Antiqua" w:cs="Times New Roman"/>
          <w:bCs/>
          <w:sz w:val="24"/>
          <w:szCs w:val="24"/>
        </w:rPr>
      </w:pPr>
      <w:r w:rsidRPr="00A90037">
        <w:rPr>
          <w:rFonts w:ascii="Book Antiqua" w:eastAsia="Times New Roman" w:hAnsi="Book Antiqua" w:cs="Times New Roman"/>
          <w:bCs/>
          <w:sz w:val="24"/>
          <w:szCs w:val="24"/>
        </w:rPr>
        <w:t>This study aims to analyze the influence of employee engagement and perceived program usefulness on employee retention with the meaning of work as a mediating variable in the implementation of the digital-based CSR program Sedekah Sampah (Trash Charity) at PT Indocement Tunggal Prakarsa Tbk. The CSR program is part of the company's sustainability strategy that is not only oriented towards environmental impacts but also designed to increase active employee participation through the process of internalizing company values. This study uses a quantitative approach with the Structural Equation Modeling–Partial Least Squares (SEM-PLS) analysis method. The research data were obtained from 169 respondents who met the criteria as active participants of the Sedekah Sampah program. The results show that employee engagement and perceived program usefulness have a positive effect on the meaning of work and employee retention, both directly and indirectly through the meaning of work as a mediating variable. These findings indicate that participatory CSR not only contributes to the formation of the company's external image but also has significant implications for employee work attitudes and loyalty. Theoretically, this study strengthens the role of the meaning of work within the CSR framework, while practically provides managerial recommendations for designing sustainability programs that position employees as important actors in achieving company goals.</w:t>
      </w:r>
    </w:p>
    <w:p w14:paraId="1FD8B779" w14:textId="77777777" w:rsidR="0031121E" w:rsidRPr="00D654F7" w:rsidRDefault="00A90037" w:rsidP="00A90037">
      <w:pPr>
        <w:spacing w:after="0" w:line="240" w:lineRule="auto"/>
        <w:jc w:val="both"/>
        <w:rPr>
          <w:rFonts w:ascii="Book Antiqua" w:eastAsia="Times New Roman" w:hAnsi="Book Antiqua" w:cs="Times New Roman"/>
          <w:i/>
          <w:iCs/>
          <w:sz w:val="24"/>
          <w:szCs w:val="24"/>
        </w:rPr>
      </w:pPr>
      <w:r w:rsidRPr="00A90037">
        <w:rPr>
          <w:rFonts w:ascii="Book Antiqua" w:eastAsia="Times New Roman" w:hAnsi="Book Antiqua" w:cs="Times New Roman"/>
          <w:b/>
          <w:bCs/>
          <w:sz w:val="24"/>
          <w:szCs w:val="24"/>
        </w:rPr>
        <w:t>Keywords: Corporate Social Responsibility, employee engagement, perception of usefulness, meaning of work, employee retention.</w:t>
      </w:r>
    </w:p>
    <w:p w14:paraId="58035D9E" w14:textId="77777777" w:rsidR="0031121E" w:rsidRPr="00D654F7" w:rsidRDefault="0031121E" w:rsidP="00D52B6B">
      <w:pPr>
        <w:spacing w:after="0" w:line="240" w:lineRule="auto"/>
        <w:jc w:val="both"/>
        <w:rPr>
          <w:rFonts w:ascii="Book Antiqua" w:eastAsia="Times New Roman" w:hAnsi="Book Antiqua" w:cs="Times New Roman"/>
          <w:sz w:val="24"/>
          <w:szCs w:val="24"/>
        </w:rPr>
      </w:pPr>
    </w:p>
    <w:p w14:paraId="142B6D3D" w14:textId="77777777" w:rsidR="0031121E" w:rsidRPr="00D654F7" w:rsidRDefault="00B9221C" w:rsidP="001779AD">
      <w:pPr>
        <w:spacing w:after="0" w:line="240" w:lineRule="auto"/>
        <w:ind w:right="24"/>
        <w:jc w:val="both"/>
        <w:rPr>
          <w:rFonts w:ascii="Book Antiqua" w:eastAsia="Times New Roman" w:hAnsi="Book Antiqua" w:cs="Times New Roman"/>
          <w:b/>
          <w:bCs/>
          <w:sz w:val="24"/>
          <w:szCs w:val="24"/>
        </w:rPr>
      </w:pPr>
      <w:r w:rsidRPr="00D654F7">
        <w:rPr>
          <w:rFonts w:ascii="Book Antiqua" w:eastAsia="Times New Roman" w:hAnsi="Book Antiqua" w:cs="Times New Roman"/>
          <w:b/>
          <w:bCs/>
          <w:sz w:val="24"/>
          <w:szCs w:val="24"/>
        </w:rPr>
        <w:t>INTRODUCTION</w:t>
      </w:r>
    </w:p>
    <w:p w14:paraId="610A73C8" w14:textId="77777777" w:rsidR="004A3633" w:rsidRPr="00D654F7" w:rsidRDefault="004A3633" w:rsidP="001779AD">
      <w:pPr>
        <w:spacing w:after="0" w:line="240" w:lineRule="auto"/>
        <w:ind w:right="4" w:firstLine="567"/>
        <w:jc w:val="both"/>
        <w:rPr>
          <w:rFonts w:ascii="Book Antiqua" w:eastAsia="Times New Roman" w:hAnsi="Book Antiqua" w:cs="Times New Roman"/>
          <w:color w:val="000000"/>
          <w:sz w:val="24"/>
          <w:szCs w:val="24"/>
          <w:lang w:val="en-ID"/>
        </w:rPr>
      </w:pPr>
      <w:r w:rsidRPr="00D654F7">
        <w:rPr>
          <w:rFonts w:ascii="Book Antiqua" w:eastAsia="Times New Roman" w:hAnsi="Book Antiqua" w:cs="Times New Roman"/>
          <w:color w:val="000000"/>
          <w:sz w:val="24"/>
          <w:szCs w:val="24"/>
          <w:lang w:val="en-ID"/>
        </w:rPr>
        <w:t>In an increasingly competitive workplace, companies face the challenge of retaining high-performing employees. One approach deemed increasingly relevant is strengthening employee engagement through meaningful programs, such as Corporate Social Responsibility (CSR), which is also part of a company's primary strategy for creating shared value. As CSR practices evolve, digital-based and participatory approaches have emerged that are not only aimed at the external community but also directly involve employees in the implementation and internalization of company values. This approach is believed to not only strengthen a company's reputation externally but also have an internal impact on work attitudes, behaviors, and workforce sustainability. Active employee involvement in CSR programs is seen as enhancing a sense of belonging and strengthening emotional bonds with organizational values ​​(Kim et al., 2021).</w:t>
      </w:r>
    </w:p>
    <w:p w14:paraId="6908A974" w14:textId="77777777" w:rsidR="004A3633" w:rsidRPr="00D654F7" w:rsidRDefault="004A3633" w:rsidP="001779AD">
      <w:pPr>
        <w:spacing w:after="0" w:line="240" w:lineRule="auto"/>
        <w:ind w:right="4" w:firstLine="567"/>
        <w:jc w:val="both"/>
        <w:rPr>
          <w:rFonts w:ascii="Book Antiqua" w:eastAsia="Times New Roman" w:hAnsi="Book Antiqua" w:cs="Times New Roman"/>
          <w:color w:val="000000"/>
          <w:sz w:val="24"/>
          <w:szCs w:val="24"/>
          <w:lang w:val="en-ID"/>
        </w:rPr>
      </w:pPr>
      <w:r w:rsidRPr="00D654F7">
        <w:rPr>
          <w:rFonts w:ascii="Book Antiqua" w:eastAsia="Times New Roman" w:hAnsi="Book Antiqua" w:cs="Times New Roman"/>
          <w:color w:val="000000"/>
          <w:sz w:val="24"/>
          <w:szCs w:val="24"/>
          <w:lang w:val="en-ID"/>
        </w:rPr>
        <w:t xml:space="preserve">PT Indocement Tunggal Prakarsa Tbk. is the only company in the cement industry that implements this approach through a digital-based Sedekah Sampah </w:t>
      </w:r>
      <w:r w:rsidRPr="00D654F7">
        <w:rPr>
          <w:rFonts w:ascii="Book Antiqua" w:eastAsia="Times New Roman" w:hAnsi="Book Antiqua" w:cs="Times New Roman"/>
          <w:color w:val="000000"/>
          <w:sz w:val="24"/>
          <w:szCs w:val="24"/>
          <w:lang w:val="en-ID"/>
        </w:rPr>
        <w:lastRenderedPageBreak/>
        <w:t>program, which integrates environmental awareness, social values, and internal employee participation. Through this program, employees are facilitated to collect inorganic waste which is then processed into Renewable Energy (EBT) or Refuse-Derived Fuel (RDF), which is an alternative fuel resulting from processing non-hazardous solid waste that is used as a substitute for coal or other fossil fuels in the cement production process. This initiative not only serves as an educational medium for employees regarding waste management, but also supports the achievement of the company's target of increasing the proportion of alternative fuel use, namely by 18.3% in 2023, with a target of 25% in 2025 and 42% in 2030. This effort is in line with Indonesia's national commitment to the Paris Agreement in achieving Net Zero Emissions by 2060.</w:t>
      </w:r>
    </w:p>
    <w:p w14:paraId="0C59B344" w14:textId="77777777" w:rsidR="0031121E" w:rsidRPr="00D654F7" w:rsidRDefault="00B9221C" w:rsidP="001779AD">
      <w:pPr>
        <w:spacing w:after="0" w:line="240" w:lineRule="auto"/>
        <w:ind w:right="4" w:firstLine="567"/>
        <w:jc w:val="both"/>
        <w:rPr>
          <w:rFonts w:ascii="Book Antiqua" w:eastAsia="Times New Roman" w:hAnsi="Book Antiqua" w:cs="Times New Roman"/>
          <w:sz w:val="24"/>
          <w:szCs w:val="24"/>
        </w:rPr>
      </w:pPr>
      <w:r w:rsidRPr="00D654F7">
        <w:rPr>
          <w:rFonts w:ascii="Book Antiqua" w:eastAsia="Times New Roman" w:hAnsi="Book Antiqua" w:cs="Times New Roman"/>
          <w:color w:val="000000"/>
          <w:sz w:val="24"/>
          <w:szCs w:val="24"/>
        </w:rPr>
        <w:t>Centralized waste collection in HarmonyCornerCafe</w:t>
      </w:r>
      <w:r w:rsidRPr="00D654F7">
        <w:rPr>
          <w:rFonts w:ascii="Book Antiqua" w:eastAsia="Times New Roman" w:hAnsi="Book Antiqua" w:cs="Book Antiqua"/>
          <w:color w:val="000000"/>
          <w:sz w:val="24"/>
          <w:szCs w:val="24"/>
        </w:rPr>
        <w:t>e</w:t>
      </w:r>
      <w:r w:rsidRPr="00D654F7">
        <w:rPr>
          <w:rFonts w:ascii="Book Antiqua" w:eastAsia="Times New Roman" w:hAnsi="Book Antiqua" w:cs="Times New Roman"/>
          <w:color w:val="000000"/>
          <w:sz w:val="24"/>
          <w:szCs w:val="24"/>
        </w:rPr>
        <w:t>, Indocement factory complex, Citeureup unit, Bogor, every Monday–Friday at07.00</w:t>
      </w:r>
      <w:r w:rsidRPr="00D654F7">
        <w:rPr>
          <w:rFonts w:ascii="Book Antiqua" w:eastAsia="Times New Roman" w:hAnsi="Book Antiqua" w:cs="Book Antiqua"/>
          <w:color w:val="000000"/>
          <w:sz w:val="24"/>
          <w:szCs w:val="24"/>
        </w:rPr>
        <w:t>–</w:t>
      </w:r>
      <w:r w:rsidRPr="00D654F7">
        <w:rPr>
          <w:rFonts w:ascii="Book Antiqua" w:eastAsia="Times New Roman" w:hAnsi="Book Antiqua" w:cs="Times New Roman"/>
          <w:color w:val="000000"/>
          <w:sz w:val="24"/>
          <w:szCs w:val="24"/>
        </w:rPr>
        <w:t>09.00WIB. This program has been running since August 4, 2021, coinciding with Indocement's 46th anniversary. Employees weigh their own waste and enter a waste number.ParentEmployees (NIK) to the digital-based Waste Alms system. Accepted waste types include textiles, paper, cardboard, plastic, Styrofoam, used cooking oil, and even used tires, all of which have a calorific value that can be used as RDF (Refuse Derived Fuel), an alternative fuel for cement production. Every 3kg of waste is converted into one point, where collected points can be exchanged for souvenirs (drinking bottles, bags, fridge magnets, jackets, etc.) or food/drink products at Harmony.Corner, including MSME products of Indocement's CSR partners.</w:t>
      </w:r>
    </w:p>
    <w:p w14:paraId="683EEF4C" w14:textId="77777777" w:rsidR="0031121E" w:rsidRPr="00D654F7" w:rsidRDefault="00B9221C" w:rsidP="001779AD">
      <w:pPr>
        <w:spacing w:after="0" w:line="240" w:lineRule="auto"/>
        <w:ind w:firstLine="720"/>
        <w:jc w:val="both"/>
        <w:rPr>
          <w:rFonts w:ascii="Book Antiqua" w:eastAsia="Times New Roman" w:hAnsi="Book Antiqua" w:cs="Times New Roman"/>
          <w:sz w:val="24"/>
          <w:szCs w:val="24"/>
        </w:rPr>
      </w:pPr>
      <w:r w:rsidRPr="00D654F7">
        <w:rPr>
          <w:rFonts w:ascii="Book Antiqua" w:eastAsia="Times New Roman" w:hAnsi="Book Antiqua" w:cs="Times New Roman"/>
          <w:color w:val="000000"/>
          <w:sz w:val="24"/>
          <w:szCs w:val="24"/>
        </w:rPr>
        <w:t>Employee involvement in Corporate Social Responsibility (CSR) activities at PT Indocement Tunggal Prakarsa Tbk. is not merely a routine operational activity, but aims to foster the perception that their work has a meaningful and beneficial impact, thus fostering job retention. Through this involvement, employees are more likely to view their work as having a greater purpose and value, thereby strengthening their sense of meaning in work (Glavas, 2016; Grant, 2008). Employees who feel involved in CSR activities tend to develop a stronger sense of ownership and attachment to their work (Fakhira, 2024). This involvement can create a more meaningful work experience, namely when individuals see that their work has social value and a broader purpose than simply fulfilling organizational obligations. Beyond just operational involvement, how employees interpret the benefits of the CSR programs is also important. When they perceive that the activities have a positive impact on society, they tend to associate it with their personal values, thus forming the perception that their work has a meaningful contribution (Glavas &amp; Piderit, 2009).</w:t>
      </w:r>
    </w:p>
    <w:p w14:paraId="516F2E45" w14:textId="77777777" w:rsidR="0031121E" w:rsidRPr="00D654F7" w:rsidRDefault="00B9221C" w:rsidP="001779AD">
      <w:pPr>
        <w:spacing w:after="0" w:line="240" w:lineRule="auto"/>
        <w:ind w:firstLine="720"/>
        <w:jc w:val="both"/>
        <w:rPr>
          <w:rFonts w:ascii="Book Antiqua" w:eastAsia="Times New Roman" w:hAnsi="Book Antiqua" w:cs="Times New Roman"/>
          <w:sz w:val="24"/>
          <w:szCs w:val="24"/>
        </w:rPr>
      </w:pPr>
      <w:r w:rsidRPr="00D654F7">
        <w:rPr>
          <w:rFonts w:ascii="Book Antiqua" w:eastAsia="Times New Roman" w:hAnsi="Book Antiqua" w:cs="Times New Roman"/>
          <w:color w:val="000000"/>
          <w:sz w:val="24"/>
          <w:szCs w:val="24"/>
        </w:rPr>
        <w:t>Furthermore, when CSR programs are designed in a participatory manner and perceived to have tangible benefits, they can foster a sense of belonging to the organization, strengthen employee identification with the company, and encourage higher morale and job satisfaction (Kim et al., 2010; De Roeck &amp; Farooq, 2018). CSR programs that are perceived as aligned with employees' personal values ​​can foster an understanding that their work contributions are not only internal or economic, but also have social and environmental impacts (Glavas &amp; Piderit, 2009).</w:t>
      </w:r>
    </w:p>
    <w:p w14:paraId="314EE9FB" w14:textId="77777777" w:rsidR="004A3633" w:rsidRPr="00D654F7" w:rsidRDefault="004A3633" w:rsidP="001779AD">
      <w:pPr>
        <w:spacing w:after="0" w:line="240" w:lineRule="auto"/>
        <w:ind w:right="29" w:firstLine="567"/>
        <w:jc w:val="both"/>
        <w:rPr>
          <w:rFonts w:ascii="Book Antiqua" w:eastAsia="Times New Roman" w:hAnsi="Book Antiqua" w:cs="Times New Roman"/>
          <w:color w:val="000000"/>
          <w:sz w:val="24"/>
          <w:szCs w:val="24"/>
          <w:lang w:val="en-ID"/>
        </w:rPr>
      </w:pPr>
      <w:r w:rsidRPr="00D654F7">
        <w:rPr>
          <w:rFonts w:ascii="Book Antiqua" w:eastAsia="Times New Roman" w:hAnsi="Book Antiqua" w:cs="Times New Roman"/>
          <w:color w:val="000000"/>
          <w:sz w:val="24"/>
          <w:szCs w:val="24"/>
          <w:lang w:val="en-ID"/>
        </w:rPr>
        <w:t>The meaning of work is seen as a crucial foundation for building the quality of employee work experiences. When employees perceive their work positively, job satisfaction tends to increase, followed by a stronger desire to maintain membership in the organization (Rosso et al., 2010; Allan et al., 2016). Based on these considerations, this study positions the meaning of work as a mediating variable with sufficient theoretical and empirical support. The implementation of CSR programs, particularly those designed in a participatory manner and oriented towards social impact, such as the digital-based Sedekah Sampah program, not only generates reputational benefits for the company but also influences how employees assess the meaning and contribution of their work. In this context, the meaning of work plays a role as a psychological process that explains how employee engagement in CSR activities can lead to increased retention. Several studies have shown that perceptions of the social value of work foster stronger emotional attachments between employees and the organization, which in turn contribute to loyalty and retention intentions (Lysova et al., 2019; Singh &amp; Pradhan, 2024; Glavas &amp; Piderit, 2009). Compared to the constructs of job satisfaction and organizational commitment, work meaning offers deeper conceptual scope because it directly relates to aspects of self-identity, value systems, and personal goals at work. Therefore, work meaning is considered most appropriate for explaining the role of CSR involvement and perceived usefulness in influencing employee retention.</w:t>
      </w:r>
    </w:p>
    <w:p w14:paraId="3B72FEA7" w14:textId="77777777" w:rsidR="004A3633" w:rsidRPr="00D654F7" w:rsidRDefault="004A3633" w:rsidP="001779AD">
      <w:pPr>
        <w:spacing w:after="0" w:line="240" w:lineRule="auto"/>
        <w:ind w:right="29" w:firstLine="567"/>
        <w:jc w:val="both"/>
        <w:rPr>
          <w:rFonts w:ascii="Book Antiqua" w:eastAsia="Times New Roman" w:hAnsi="Book Antiqua" w:cs="Times New Roman"/>
          <w:color w:val="000000"/>
          <w:sz w:val="24"/>
          <w:szCs w:val="24"/>
          <w:lang w:val="en-ID"/>
        </w:rPr>
      </w:pPr>
      <w:r w:rsidRPr="00D654F7">
        <w:rPr>
          <w:rFonts w:ascii="Book Antiqua" w:eastAsia="Times New Roman" w:hAnsi="Book Antiqua" w:cs="Times New Roman"/>
          <w:color w:val="000000"/>
          <w:sz w:val="24"/>
          <w:szCs w:val="24"/>
          <w:lang w:val="en-ID"/>
        </w:rPr>
        <w:t>In previous literature, studies on Corporate Social Responsibility (CSR) have generally focused on its implications for social legitimacy, corporate reputation, and external stakeholder assessments. However, more recent approaches suggest that CSR also plays a significant role in shaping the internal dynamics of organizations, particularly in human resource (HR) management. CSR programs that actively involve employees have been shown to increase employee engagement, strengthen alignment between individual and organizational values, and provide a more meaningful work experience (Glavas, 2016). When employees perceive CSR as a tangible manifestation of company values ​​aligned with their own, rather than simply an external communication strategy, job satisfaction and loyalty tend to increase (Duthler &amp; Dhanesh, 2018). These findings confirm that CSR can serve as a strategic instrument in strengthening employee commitment, building meaningful work, and supporting the retention and sustainable development of human resources. By focusing on the digital-based Sedekah Sampah CSR program, this study provides an additional perspective on CSR as a strategic intervention that directly impacts employee motivation and work behavior, going beyond its traditional function as a tool for shaping a company's external image.</w:t>
      </w:r>
    </w:p>
    <w:p w14:paraId="45A0168C" w14:textId="77777777" w:rsidR="004A3633" w:rsidRPr="00D654F7" w:rsidRDefault="004A3633" w:rsidP="001779AD">
      <w:pPr>
        <w:spacing w:after="0" w:line="240" w:lineRule="auto"/>
        <w:ind w:right="29"/>
        <w:jc w:val="both"/>
        <w:rPr>
          <w:rFonts w:ascii="Book Antiqua" w:eastAsia="Times New Roman" w:hAnsi="Book Antiqua" w:cs="Times New Roman"/>
          <w:b/>
          <w:bCs/>
          <w:sz w:val="24"/>
          <w:szCs w:val="24"/>
        </w:rPr>
      </w:pPr>
    </w:p>
    <w:p w14:paraId="298DD672" w14:textId="77777777" w:rsidR="0031121E" w:rsidRPr="00D654F7" w:rsidRDefault="00B9221C" w:rsidP="001779AD">
      <w:pPr>
        <w:spacing w:after="0" w:line="240" w:lineRule="auto"/>
        <w:ind w:right="29"/>
        <w:jc w:val="both"/>
        <w:rPr>
          <w:rFonts w:ascii="Book Antiqua" w:eastAsia="Times New Roman" w:hAnsi="Book Antiqua" w:cs="Times New Roman"/>
          <w:b/>
          <w:bCs/>
          <w:sz w:val="24"/>
          <w:szCs w:val="24"/>
        </w:rPr>
      </w:pPr>
      <w:r w:rsidRPr="00D654F7">
        <w:rPr>
          <w:rFonts w:ascii="Book Antiqua" w:eastAsia="Times New Roman" w:hAnsi="Book Antiqua" w:cs="Times New Roman"/>
          <w:b/>
          <w:bCs/>
          <w:sz w:val="24"/>
          <w:szCs w:val="24"/>
        </w:rPr>
        <w:t>LITERATURE REVIEW</w:t>
      </w:r>
    </w:p>
    <w:p w14:paraId="4168A83C" w14:textId="77777777" w:rsidR="00F62D45" w:rsidRPr="00F62D45" w:rsidRDefault="00F62D45" w:rsidP="001779AD">
      <w:pPr>
        <w:spacing w:after="0" w:line="240" w:lineRule="auto"/>
        <w:ind w:firstLine="567"/>
        <w:jc w:val="both"/>
        <w:rPr>
          <w:rFonts w:ascii="Book Antiqua" w:eastAsia="Times New Roman" w:hAnsi="Book Antiqua" w:cs="Times New Roman"/>
          <w:color w:val="000000"/>
          <w:sz w:val="24"/>
          <w:szCs w:val="24"/>
          <w:lang w:val="en-ID"/>
        </w:rPr>
      </w:pPr>
      <w:r w:rsidRPr="00F62D45">
        <w:rPr>
          <w:rFonts w:ascii="Book Antiqua" w:eastAsia="Times New Roman" w:hAnsi="Book Antiqua" w:cs="Times New Roman"/>
          <w:color w:val="000000"/>
          <w:sz w:val="24"/>
          <w:szCs w:val="24"/>
          <w:lang w:val="en-ID"/>
        </w:rPr>
        <w:t>Sustainability theory emphasizes the importance of integrating three main pillars—economic, social, and environmental—in organizational operations. This approach requires companies to focus not only on financial profits but also on social and environmental impacts (Purvis, Mao, and Robinson, 2019). In the context of Corporate Social Responsibility (CSR), this is relevant for analyzing programs like the digital-based Sedekah Sampah (Trash Donation), which involves employees as key actors and generates social and environmental impacts.</w:t>
      </w:r>
    </w:p>
    <w:p w14:paraId="670AD0F3" w14:textId="77777777" w:rsidR="00F62D45" w:rsidRPr="00F62D45" w:rsidRDefault="00F62D45" w:rsidP="001779AD">
      <w:pPr>
        <w:spacing w:after="0" w:line="240" w:lineRule="auto"/>
        <w:ind w:firstLine="567"/>
        <w:jc w:val="both"/>
        <w:rPr>
          <w:rFonts w:ascii="Book Antiqua" w:eastAsia="Times New Roman" w:hAnsi="Book Antiqua" w:cs="Times New Roman"/>
          <w:color w:val="000000"/>
          <w:sz w:val="24"/>
          <w:szCs w:val="24"/>
          <w:lang w:val="en-ID"/>
        </w:rPr>
      </w:pPr>
      <w:r w:rsidRPr="00F62D45">
        <w:rPr>
          <w:rFonts w:ascii="Book Antiqua" w:eastAsia="Times New Roman" w:hAnsi="Book Antiqua" w:cs="Times New Roman"/>
          <w:color w:val="000000"/>
          <w:sz w:val="24"/>
          <w:szCs w:val="24"/>
          <w:lang w:val="en-ID"/>
        </w:rPr>
        <w:t>The Triple Bottom Line (TBL) approach, introduced by Elkington (1997), focuses on three main dimensions: Profit, People, and Planet. In this study, TBL was used to assess the contribution of Sedekah Sampah's CSR program to environmental conservation (planet), employee empowerment (people), and economic efficiency (profit). This approach helps evaluate the program's overall added value.</w:t>
      </w:r>
    </w:p>
    <w:p w14:paraId="24FEDB3D" w14:textId="77777777" w:rsidR="00F62D45" w:rsidRPr="00F62D45" w:rsidRDefault="00F62D45" w:rsidP="001779AD">
      <w:pPr>
        <w:spacing w:after="0" w:line="240" w:lineRule="auto"/>
        <w:ind w:firstLine="567"/>
        <w:jc w:val="both"/>
        <w:rPr>
          <w:rFonts w:ascii="Book Antiqua" w:eastAsia="Times New Roman" w:hAnsi="Book Antiqua" w:cs="Times New Roman"/>
          <w:color w:val="000000"/>
          <w:sz w:val="24"/>
          <w:szCs w:val="24"/>
          <w:lang w:val="en-ID"/>
        </w:rPr>
      </w:pPr>
      <w:r w:rsidRPr="00F62D45">
        <w:rPr>
          <w:rFonts w:ascii="Book Antiqua" w:eastAsia="Times New Roman" w:hAnsi="Book Antiqua" w:cs="Times New Roman"/>
          <w:color w:val="000000"/>
          <w:sz w:val="24"/>
          <w:szCs w:val="24"/>
          <w:lang w:val="en-ID"/>
        </w:rPr>
        <w:t>Stakeholder Theory emphasizes that companies are responsible not only to shareholders but also to all parties affected by their business activities. Hörisch, Freeman, and Schaltegger (2020) state that the effectiveness of CSR depends on a company's ability to manage relationships with stakeholders, including employees as important internal stakeholders.</w:t>
      </w:r>
    </w:p>
    <w:p w14:paraId="602D6848" w14:textId="77777777" w:rsidR="00F62D45" w:rsidRPr="00F62D45" w:rsidRDefault="00F62D45" w:rsidP="001779AD">
      <w:pPr>
        <w:spacing w:after="0" w:line="240" w:lineRule="auto"/>
        <w:ind w:firstLine="567"/>
        <w:jc w:val="both"/>
        <w:rPr>
          <w:rFonts w:ascii="Book Antiqua" w:eastAsia="Times New Roman" w:hAnsi="Book Antiqua" w:cs="Times New Roman"/>
          <w:color w:val="000000"/>
          <w:sz w:val="24"/>
          <w:szCs w:val="24"/>
          <w:lang w:val="en-ID"/>
        </w:rPr>
      </w:pPr>
      <w:r w:rsidRPr="00F62D45">
        <w:rPr>
          <w:rFonts w:ascii="Book Antiqua" w:eastAsia="Times New Roman" w:hAnsi="Book Antiqua" w:cs="Times New Roman"/>
          <w:color w:val="000000"/>
          <w:sz w:val="24"/>
          <w:szCs w:val="24"/>
          <w:lang w:val="en-ID"/>
        </w:rPr>
        <w:t>Legitimacy Theory focuses on social acceptance of a company. Suchman (1995) explains that CSR can be a means of gaining and maintaining legitimacy both externally and internally, including for employees actively involved in CSR programs. The Sedekah Sampah (Trash Donation) program, which involves employees, can strengthen social relationships and positive perceptions of the company.</w:t>
      </w:r>
    </w:p>
    <w:p w14:paraId="49068A0B" w14:textId="77777777" w:rsidR="00F62D45" w:rsidRPr="00F62D45" w:rsidRDefault="00F62D45" w:rsidP="001779AD">
      <w:pPr>
        <w:spacing w:after="0" w:line="240" w:lineRule="auto"/>
        <w:ind w:firstLine="567"/>
        <w:jc w:val="both"/>
        <w:rPr>
          <w:rFonts w:ascii="Book Antiqua" w:eastAsia="Times New Roman" w:hAnsi="Book Antiqua" w:cs="Times New Roman"/>
          <w:color w:val="000000"/>
          <w:sz w:val="24"/>
          <w:szCs w:val="24"/>
          <w:lang w:val="en-ID"/>
        </w:rPr>
      </w:pPr>
      <w:r w:rsidRPr="00F62D45">
        <w:rPr>
          <w:rFonts w:ascii="Book Antiqua" w:eastAsia="Times New Roman" w:hAnsi="Book Antiqua" w:cs="Times New Roman"/>
          <w:color w:val="000000"/>
          <w:sz w:val="24"/>
          <w:szCs w:val="24"/>
          <w:lang w:val="en-ID"/>
        </w:rPr>
        <w:t>The variables in this study, such as employee engagement, perceived CSR benefits, work meaning, and employee retention, are interrelated. Employee engagement refers to the emotional, cognitive, and physical investment in their work. Gupta et al. (2021) stated that involvement in CSR activities creates a sense of relevance between work and life goals. Perceived CSR benefits refer to an individual's assessment of the program's benefits to society, the environment, and themselves. Farooq et al. (2016) revealed that positive perceptions of CSR benefits increase employee loyalty and emotional engagement.</w:t>
      </w:r>
    </w:p>
    <w:p w14:paraId="1AEA9374" w14:textId="77777777" w:rsidR="00F62D45" w:rsidRPr="00F62D45" w:rsidRDefault="00F62D45" w:rsidP="001779AD">
      <w:pPr>
        <w:spacing w:after="0" w:line="240" w:lineRule="auto"/>
        <w:ind w:firstLine="567"/>
        <w:jc w:val="both"/>
        <w:rPr>
          <w:rFonts w:ascii="Book Antiqua" w:eastAsia="Times New Roman" w:hAnsi="Book Antiqua" w:cs="Times New Roman"/>
          <w:color w:val="000000"/>
          <w:sz w:val="24"/>
          <w:szCs w:val="24"/>
          <w:lang w:val="en-ID"/>
        </w:rPr>
      </w:pPr>
      <w:r w:rsidRPr="00F62D45">
        <w:rPr>
          <w:rFonts w:ascii="Book Antiqua" w:eastAsia="Times New Roman" w:hAnsi="Book Antiqua" w:cs="Times New Roman"/>
          <w:color w:val="000000"/>
          <w:sz w:val="24"/>
          <w:szCs w:val="24"/>
          <w:lang w:val="en-ID"/>
        </w:rPr>
        <w:t>According to Lysova et al. (2019), work meaning is related to the extent to which work has significance and contributes significantly to an individual's life. CSR programs can help shape work meaning by connecting work to social and environmental impacts. Employee retention, which goes beyond physical presence, is influenced by factors such as job satisfaction, perceived fairness, and emotional connection to the company. Bilgihan and Nejad (2023) showed that employees who have emotional bonds and positive work experiences are more likely to want to stay with the company.</w:t>
      </w:r>
    </w:p>
    <w:p w14:paraId="3427793F" w14:textId="77777777" w:rsidR="0031121E" w:rsidRDefault="00F62D45" w:rsidP="001779AD">
      <w:pPr>
        <w:spacing w:after="0" w:line="240" w:lineRule="auto"/>
        <w:ind w:firstLine="567"/>
        <w:jc w:val="both"/>
        <w:rPr>
          <w:rFonts w:ascii="Book Antiqua" w:eastAsia="Times New Roman" w:hAnsi="Book Antiqua" w:cs="Times New Roman"/>
          <w:b/>
          <w:bCs/>
          <w:noProof/>
          <w:sz w:val="24"/>
          <w:szCs w:val="24"/>
          <w:lang w:val="en-ID"/>
        </w:rPr>
      </w:pPr>
      <w:r w:rsidRPr="00F62D45">
        <w:rPr>
          <w:rFonts w:ascii="Book Antiqua" w:eastAsia="Times New Roman" w:hAnsi="Book Antiqua" w:cs="Times New Roman"/>
          <w:color w:val="000000"/>
          <w:sz w:val="24"/>
          <w:szCs w:val="24"/>
          <w:lang w:val="en-ID"/>
        </w:rPr>
        <w:t>This study analyzes the relationship between employee engagement (X1), perceived usefulness (X2), work meaning (M), and employee retention (Y). Work meaning serves as a mediating variable that explains the relationship between the independent and dependent variables, highlighting the importance of CSR in increasing employee engagement and retention by providing meaning to their work.</w:t>
      </w:r>
    </w:p>
    <w:p w14:paraId="696330E3" w14:textId="77777777" w:rsidR="00F62D45" w:rsidRPr="00D654F7" w:rsidRDefault="00F62D45" w:rsidP="001779AD">
      <w:pPr>
        <w:spacing w:after="0" w:line="240" w:lineRule="auto"/>
        <w:jc w:val="center"/>
        <w:rPr>
          <w:rFonts w:ascii="Book Antiqua" w:eastAsia="Times New Roman" w:hAnsi="Book Antiqua" w:cs="Times New Roman"/>
          <w:sz w:val="24"/>
          <w:szCs w:val="24"/>
        </w:rPr>
      </w:pPr>
      <w:r w:rsidRPr="00D654F7">
        <w:rPr>
          <w:rFonts w:ascii="Book Antiqua" w:eastAsia="Times New Roman" w:hAnsi="Book Antiqua" w:cs="Times New Roman"/>
          <w:b/>
          <w:bCs/>
          <w:noProof/>
          <w:sz w:val="24"/>
          <w:szCs w:val="24"/>
          <w:lang w:val="en-ID"/>
        </w:rPr>
        <w:drawing>
          <wp:inline distT="114300" distB="114300" distL="114300" distR="114300" wp14:anchorId="1935DB39" wp14:editId="4227DB58">
            <wp:extent cx="3876675" cy="1981200"/>
            <wp:effectExtent l="0" t="0" r="9525" b="0"/>
            <wp:docPr id="158297696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3876675" cy="1981200"/>
                    </a:xfrm>
                    <a:prstGeom prst="rect">
                      <a:avLst/>
                    </a:prstGeom>
                    <a:ln/>
                  </pic:spPr>
                </pic:pic>
              </a:graphicData>
            </a:graphic>
          </wp:inline>
        </w:drawing>
      </w:r>
    </w:p>
    <w:p w14:paraId="1D576DDA" w14:textId="77777777" w:rsidR="0031121E" w:rsidRPr="00D654F7" w:rsidRDefault="00B6131C" w:rsidP="001779AD">
      <w:pPr>
        <w:spacing w:after="0" w:line="240" w:lineRule="auto"/>
        <w:jc w:val="center"/>
        <w:rPr>
          <w:rFonts w:ascii="Book Antiqua" w:eastAsia="Times New Roman" w:hAnsi="Book Antiqua" w:cs="Times New Roman"/>
          <w:b/>
          <w:bCs/>
          <w:sz w:val="24"/>
          <w:szCs w:val="24"/>
        </w:rPr>
      </w:pPr>
      <w:sdt>
        <w:sdtPr>
          <w:rPr>
            <w:rFonts w:ascii="Book Antiqua" w:hAnsi="Book Antiqua" w:cs="Times New Roman"/>
            <w:b/>
            <w:bCs/>
            <w:sz w:val="24"/>
            <w:szCs w:val="24"/>
          </w:rPr>
          <w:tag w:val="goog_rdk_2"/>
          <w:id w:val="-68545736"/>
        </w:sdtPr>
        <w:sdtEndPr/>
        <w:sdtContent/>
      </w:sdt>
      <w:sdt>
        <w:sdtPr>
          <w:rPr>
            <w:rFonts w:ascii="Book Antiqua" w:hAnsi="Book Antiqua" w:cs="Times New Roman"/>
            <w:b/>
            <w:bCs/>
            <w:sz w:val="24"/>
            <w:szCs w:val="24"/>
          </w:rPr>
          <w:tag w:val="goog_rdk_3"/>
          <w:id w:val="853191502"/>
        </w:sdtPr>
        <w:sdtEndPr/>
        <w:sdtContent/>
      </w:sdt>
      <w:r w:rsidR="00B9221C" w:rsidRPr="00D654F7">
        <w:rPr>
          <w:rFonts w:ascii="Book Antiqua" w:eastAsia="Times New Roman" w:hAnsi="Book Antiqua" w:cs="Times New Roman"/>
          <w:b/>
          <w:bCs/>
          <w:sz w:val="24"/>
          <w:szCs w:val="24"/>
        </w:rPr>
        <w:t>Figure 1. Conceptual Thinking Framework</w:t>
      </w:r>
    </w:p>
    <w:p w14:paraId="3E1E0190" w14:textId="77777777" w:rsidR="0031121E" w:rsidRPr="00D654F7" w:rsidRDefault="0031121E" w:rsidP="001779AD">
      <w:pPr>
        <w:spacing w:after="0" w:line="240" w:lineRule="auto"/>
        <w:rPr>
          <w:rFonts w:ascii="Book Antiqua" w:eastAsia="Times New Roman" w:hAnsi="Book Antiqua" w:cs="Times New Roman"/>
          <w:sz w:val="24"/>
          <w:szCs w:val="24"/>
        </w:rPr>
      </w:pPr>
    </w:p>
    <w:p w14:paraId="202EC216" w14:textId="77777777" w:rsidR="00F62D45" w:rsidRPr="00F62D45" w:rsidRDefault="00F62D45" w:rsidP="001779AD">
      <w:pPr>
        <w:spacing w:after="0" w:line="240" w:lineRule="auto"/>
        <w:ind w:firstLine="567"/>
        <w:jc w:val="both"/>
        <w:rPr>
          <w:rFonts w:ascii="Book Antiqua" w:eastAsia="Times New Roman" w:hAnsi="Book Antiqua" w:cs="Times New Roman"/>
          <w:color w:val="000000"/>
          <w:sz w:val="24"/>
          <w:szCs w:val="24"/>
        </w:rPr>
      </w:pPr>
      <w:r w:rsidRPr="00F62D45">
        <w:rPr>
          <w:rFonts w:ascii="Book Antiqua" w:eastAsia="Times New Roman" w:hAnsi="Book Antiqua" w:cs="Times New Roman"/>
          <w:color w:val="000000"/>
          <w:sz w:val="24"/>
          <w:szCs w:val="24"/>
        </w:rPr>
        <w:t>This study examines the relationship between employee engagement, perceived usefulness of the Sedekah Sampah Digital CSR program, work meaning, and employee retention. Several hypotheses were tested to understand the positive influence of each variable on the others.</w:t>
      </w:r>
    </w:p>
    <w:p w14:paraId="3CD8987D" w14:textId="77777777" w:rsidR="00D52B6B" w:rsidRDefault="00D52B6B" w:rsidP="001779AD">
      <w:pPr>
        <w:spacing w:after="0" w:line="240" w:lineRule="auto"/>
        <w:jc w:val="both"/>
        <w:rPr>
          <w:rFonts w:ascii="Book Antiqua" w:eastAsia="Times New Roman" w:hAnsi="Book Antiqua" w:cs="Times New Roman"/>
          <w:b/>
          <w:color w:val="000000"/>
          <w:sz w:val="24"/>
          <w:szCs w:val="24"/>
        </w:rPr>
      </w:pPr>
    </w:p>
    <w:p w14:paraId="5C5ECCB9" w14:textId="77777777" w:rsidR="00F62D45" w:rsidRPr="00F62D45" w:rsidRDefault="00F62D45" w:rsidP="001779AD">
      <w:pPr>
        <w:spacing w:after="0" w:line="240" w:lineRule="auto"/>
        <w:jc w:val="both"/>
        <w:rPr>
          <w:rFonts w:ascii="Book Antiqua" w:eastAsia="Times New Roman" w:hAnsi="Book Antiqua" w:cs="Times New Roman"/>
          <w:b/>
          <w:color w:val="000000"/>
          <w:sz w:val="24"/>
          <w:szCs w:val="24"/>
        </w:rPr>
      </w:pPr>
      <w:r w:rsidRPr="00F62D45">
        <w:rPr>
          <w:rFonts w:ascii="Book Antiqua" w:eastAsia="Times New Roman" w:hAnsi="Book Antiqua" w:cs="Times New Roman"/>
          <w:b/>
          <w:color w:val="000000"/>
          <w:sz w:val="24"/>
          <w:szCs w:val="24"/>
        </w:rPr>
        <w:t>H1: Employee Involvement in CSR Programs Has a Positive Influence on the Meaning of Work</w:t>
      </w:r>
    </w:p>
    <w:p w14:paraId="3BE0C2D4" w14:textId="77777777" w:rsidR="00F62D45" w:rsidRPr="00F62D45" w:rsidRDefault="00F62D45" w:rsidP="001779AD">
      <w:pPr>
        <w:spacing w:after="0" w:line="240" w:lineRule="auto"/>
        <w:ind w:firstLine="567"/>
        <w:jc w:val="both"/>
        <w:rPr>
          <w:rFonts w:ascii="Book Antiqua" w:eastAsia="Times New Roman" w:hAnsi="Book Antiqua" w:cs="Times New Roman"/>
          <w:color w:val="000000"/>
          <w:sz w:val="24"/>
          <w:szCs w:val="24"/>
        </w:rPr>
      </w:pPr>
      <w:r w:rsidRPr="00F62D45">
        <w:rPr>
          <w:rFonts w:ascii="Book Antiqua" w:eastAsia="Times New Roman" w:hAnsi="Book Antiqua" w:cs="Times New Roman"/>
          <w:color w:val="000000"/>
          <w:sz w:val="24"/>
          <w:szCs w:val="24"/>
        </w:rPr>
        <w:t>Active participation in CSR can deepen the meaning of work because employees perceive their contributions as having a positive impact (Gupta et al., 2021). Wulandari (2021) emphasized that direct employee involvement in CSR increases the perception of meaningful work due to the emotional connection to the organization's social mission. This supports H1, which states that employee involvement in CSR programs positively influences the meaning of work.</w:t>
      </w:r>
    </w:p>
    <w:p w14:paraId="389F0EE4" w14:textId="77777777" w:rsidR="00D52B6B" w:rsidRDefault="00D52B6B" w:rsidP="001779AD">
      <w:pPr>
        <w:spacing w:after="0" w:line="240" w:lineRule="auto"/>
        <w:jc w:val="both"/>
        <w:rPr>
          <w:rFonts w:ascii="Book Antiqua" w:eastAsia="Times New Roman" w:hAnsi="Book Antiqua" w:cs="Times New Roman"/>
          <w:b/>
          <w:color w:val="000000"/>
          <w:sz w:val="24"/>
          <w:szCs w:val="24"/>
        </w:rPr>
      </w:pPr>
    </w:p>
    <w:p w14:paraId="490B0C6E" w14:textId="77777777" w:rsidR="00F62D45" w:rsidRPr="00F62D45" w:rsidRDefault="00F62D45" w:rsidP="001779AD">
      <w:pPr>
        <w:spacing w:after="0" w:line="240" w:lineRule="auto"/>
        <w:jc w:val="both"/>
        <w:rPr>
          <w:rFonts w:ascii="Book Antiqua" w:eastAsia="Times New Roman" w:hAnsi="Book Antiqua" w:cs="Times New Roman"/>
          <w:b/>
          <w:color w:val="000000"/>
          <w:sz w:val="24"/>
          <w:szCs w:val="24"/>
        </w:rPr>
      </w:pPr>
      <w:r w:rsidRPr="00F62D45">
        <w:rPr>
          <w:rFonts w:ascii="Book Antiqua" w:eastAsia="Times New Roman" w:hAnsi="Book Antiqua" w:cs="Times New Roman"/>
          <w:b/>
          <w:color w:val="000000"/>
          <w:sz w:val="24"/>
          <w:szCs w:val="24"/>
        </w:rPr>
        <w:t>H2: Perceived Usefulness of CSR Programs Has a Positive Influence on the Meaning of Work</w:t>
      </w:r>
    </w:p>
    <w:p w14:paraId="47E8BC5D" w14:textId="77777777" w:rsidR="00F62D45" w:rsidRPr="00F62D45" w:rsidRDefault="00F62D45" w:rsidP="001779AD">
      <w:pPr>
        <w:spacing w:after="0" w:line="240" w:lineRule="auto"/>
        <w:ind w:firstLine="567"/>
        <w:jc w:val="both"/>
        <w:rPr>
          <w:rFonts w:ascii="Book Antiqua" w:eastAsia="Times New Roman" w:hAnsi="Book Antiqua" w:cs="Times New Roman"/>
          <w:color w:val="000000"/>
          <w:sz w:val="24"/>
          <w:szCs w:val="24"/>
        </w:rPr>
      </w:pPr>
      <w:r w:rsidRPr="00F62D45">
        <w:rPr>
          <w:rFonts w:ascii="Book Antiqua" w:eastAsia="Times New Roman" w:hAnsi="Book Antiqua" w:cs="Times New Roman"/>
          <w:color w:val="000000"/>
          <w:sz w:val="24"/>
          <w:szCs w:val="24"/>
        </w:rPr>
        <w:t>When employees perceive CSR programs as valuable and providing tangible benefits, their work is perceived as more meaningful and aligned with personal values ​​(Lysova et al., 2019). Wulandari (2021) added that involvement in meaningful CSR programs strengthens a sense of responsibility and pride, enhancing work meaning. This finding supports H2, which states that perceived usefulness of CSR programs positively influences work meaning.</w:t>
      </w:r>
    </w:p>
    <w:p w14:paraId="468F24E9" w14:textId="77777777" w:rsidR="00D52B6B" w:rsidRDefault="00D52B6B" w:rsidP="001779AD">
      <w:pPr>
        <w:spacing w:after="0" w:line="240" w:lineRule="auto"/>
        <w:jc w:val="both"/>
        <w:rPr>
          <w:rFonts w:ascii="Book Antiqua" w:eastAsia="Times New Roman" w:hAnsi="Book Antiqua" w:cs="Times New Roman"/>
          <w:b/>
          <w:color w:val="000000"/>
          <w:sz w:val="24"/>
          <w:szCs w:val="24"/>
        </w:rPr>
      </w:pPr>
    </w:p>
    <w:p w14:paraId="7C87D269" w14:textId="77777777" w:rsidR="00F62D45" w:rsidRPr="00F62D45" w:rsidRDefault="00F62D45" w:rsidP="001779AD">
      <w:pPr>
        <w:spacing w:after="0" w:line="240" w:lineRule="auto"/>
        <w:jc w:val="both"/>
        <w:rPr>
          <w:rFonts w:ascii="Book Antiqua" w:eastAsia="Times New Roman" w:hAnsi="Book Antiqua" w:cs="Times New Roman"/>
          <w:b/>
          <w:color w:val="000000"/>
          <w:sz w:val="24"/>
          <w:szCs w:val="24"/>
        </w:rPr>
      </w:pPr>
      <w:r w:rsidRPr="00F62D45">
        <w:rPr>
          <w:rFonts w:ascii="Book Antiqua" w:eastAsia="Times New Roman" w:hAnsi="Book Antiqua" w:cs="Times New Roman"/>
          <w:b/>
          <w:color w:val="000000"/>
          <w:sz w:val="24"/>
          <w:szCs w:val="24"/>
        </w:rPr>
        <w:t>H3: The Meaning of Work Has a Positive Influence on Employee Retention</w:t>
      </w:r>
    </w:p>
    <w:p w14:paraId="01A00933" w14:textId="77777777" w:rsidR="00F62D45" w:rsidRPr="00F62D45" w:rsidRDefault="00F62D45" w:rsidP="001779AD">
      <w:pPr>
        <w:spacing w:after="0" w:line="240" w:lineRule="auto"/>
        <w:ind w:firstLine="567"/>
        <w:jc w:val="both"/>
        <w:rPr>
          <w:rFonts w:ascii="Book Antiqua" w:eastAsia="Times New Roman" w:hAnsi="Book Antiqua" w:cs="Times New Roman"/>
          <w:color w:val="000000"/>
          <w:sz w:val="24"/>
          <w:szCs w:val="24"/>
        </w:rPr>
      </w:pPr>
      <w:r w:rsidRPr="00F62D45">
        <w:rPr>
          <w:rFonts w:ascii="Book Antiqua" w:eastAsia="Times New Roman" w:hAnsi="Book Antiqua" w:cs="Times New Roman"/>
          <w:color w:val="000000"/>
          <w:sz w:val="24"/>
          <w:szCs w:val="24"/>
        </w:rPr>
        <w:t>Employees who perceive their work positively demonstrate high loyalty and commitment to the organization (Bilgihan &amp; Nejad, 2023). Ramadhani (2021) stated that high levels of work meaning reduce the likelihood of leaving the organization. This research supports H3, which states that work meaning positively influences employee retention.</w:t>
      </w:r>
    </w:p>
    <w:p w14:paraId="738D9129" w14:textId="77777777" w:rsidR="00D52B6B" w:rsidRDefault="00D52B6B" w:rsidP="001779AD">
      <w:pPr>
        <w:spacing w:after="0" w:line="240" w:lineRule="auto"/>
        <w:jc w:val="both"/>
        <w:rPr>
          <w:rFonts w:ascii="Book Antiqua" w:eastAsia="Times New Roman" w:hAnsi="Book Antiqua" w:cs="Times New Roman"/>
          <w:b/>
          <w:color w:val="000000"/>
          <w:sz w:val="24"/>
          <w:szCs w:val="24"/>
        </w:rPr>
      </w:pPr>
    </w:p>
    <w:p w14:paraId="1906D579" w14:textId="77777777" w:rsidR="00F62D45" w:rsidRPr="00F62D45" w:rsidRDefault="00F62D45" w:rsidP="001779AD">
      <w:pPr>
        <w:spacing w:after="0" w:line="240" w:lineRule="auto"/>
        <w:jc w:val="both"/>
        <w:rPr>
          <w:rFonts w:ascii="Book Antiqua" w:eastAsia="Times New Roman" w:hAnsi="Book Antiqua" w:cs="Times New Roman"/>
          <w:b/>
          <w:color w:val="000000"/>
          <w:sz w:val="24"/>
          <w:szCs w:val="24"/>
        </w:rPr>
      </w:pPr>
      <w:r w:rsidRPr="00F62D45">
        <w:rPr>
          <w:rFonts w:ascii="Book Antiqua" w:eastAsia="Times New Roman" w:hAnsi="Book Antiqua" w:cs="Times New Roman"/>
          <w:b/>
          <w:color w:val="000000"/>
          <w:sz w:val="24"/>
          <w:szCs w:val="24"/>
        </w:rPr>
        <w:t>H4: Employee Involvement in CSR Programs Has a Direct Influence</w:t>
      </w:r>
      <w:r w:rsidRPr="00F62D45">
        <w:rPr>
          <w:rFonts w:ascii="Book Antiqua" w:eastAsia="Times New Roman" w:hAnsi="Book Antiqua" w:cs="Times New Roman"/>
          <w:color w:val="000000"/>
          <w:sz w:val="24"/>
          <w:szCs w:val="24"/>
        </w:rPr>
        <w:t>on Employee Retention</w:t>
      </w:r>
    </w:p>
    <w:p w14:paraId="36384079" w14:textId="77777777" w:rsidR="00F62D45" w:rsidRPr="00F62D45" w:rsidRDefault="00F62D45" w:rsidP="001779AD">
      <w:pPr>
        <w:spacing w:after="0" w:line="240" w:lineRule="auto"/>
        <w:ind w:firstLine="567"/>
        <w:jc w:val="both"/>
        <w:rPr>
          <w:rFonts w:ascii="Book Antiqua" w:eastAsia="Times New Roman" w:hAnsi="Book Antiqua" w:cs="Times New Roman"/>
          <w:color w:val="000000"/>
          <w:sz w:val="24"/>
          <w:szCs w:val="24"/>
        </w:rPr>
      </w:pPr>
      <w:r w:rsidRPr="00F62D45">
        <w:rPr>
          <w:rFonts w:ascii="Book Antiqua" w:eastAsia="Times New Roman" w:hAnsi="Book Antiqua" w:cs="Times New Roman"/>
          <w:color w:val="000000"/>
          <w:sz w:val="24"/>
          <w:szCs w:val="24"/>
        </w:rPr>
        <w:t>Employee involvement in CSR programs strengthens their emotional bond with the organization, increasing their desire to stay (Ali &amp; Zhang, 2022). Wulandari (2021) emphasized that participation in CSR increases a sense of belonging and pride, leading to increased retention. This finding supports H4, which states that employee involvement in CSR programs has a direct impact on employee retention.</w:t>
      </w:r>
    </w:p>
    <w:p w14:paraId="270E40AB" w14:textId="77777777" w:rsidR="00D52B6B" w:rsidRDefault="00D52B6B" w:rsidP="001779AD">
      <w:pPr>
        <w:spacing w:after="0" w:line="240" w:lineRule="auto"/>
        <w:jc w:val="both"/>
        <w:rPr>
          <w:rFonts w:ascii="Book Antiqua" w:eastAsia="Times New Roman" w:hAnsi="Book Antiqua" w:cs="Times New Roman"/>
          <w:b/>
          <w:color w:val="000000"/>
          <w:sz w:val="24"/>
          <w:szCs w:val="24"/>
        </w:rPr>
      </w:pPr>
    </w:p>
    <w:p w14:paraId="68D3AA5F" w14:textId="77777777" w:rsidR="00F62D45" w:rsidRPr="00F62D45" w:rsidRDefault="00F62D45" w:rsidP="001779AD">
      <w:pPr>
        <w:spacing w:after="0" w:line="240" w:lineRule="auto"/>
        <w:jc w:val="both"/>
        <w:rPr>
          <w:rFonts w:ascii="Book Antiqua" w:eastAsia="Times New Roman" w:hAnsi="Book Antiqua" w:cs="Times New Roman"/>
          <w:b/>
          <w:color w:val="000000"/>
          <w:sz w:val="24"/>
          <w:szCs w:val="24"/>
        </w:rPr>
      </w:pPr>
      <w:r w:rsidRPr="00F62D45">
        <w:rPr>
          <w:rFonts w:ascii="Book Antiqua" w:eastAsia="Times New Roman" w:hAnsi="Book Antiqua" w:cs="Times New Roman"/>
          <w:b/>
          <w:color w:val="000000"/>
          <w:sz w:val="24"/>
          <w:szCs w:val="24"/>
        </w:rPr>
        <w:t>H5: Perception of the Usefulness of CSR Programs Has a Direct Influence on</w:t>
      </w:r>
      <w:r w:rsidRPr="00F62D45">
        <w:rPr>
          <w:rFonts w:ascii="Book Antiqua" w:eastAsia="Times New Roman" w:hAnsi="Book Antiqua" w:cs="Times New Roman"/>
          <w:color w:val="000000"/>
          <w:sz w:val="24"/>
          <w:szCs w:val="24"/>
        </w:rPr>
        <w:t>Employee Retention</w:t>
      </w:r>
    </w:p>
    <w:p w14:paraId="1B3BFEF1" w14:textId="77777777" w:rsidR="00F62D45" w:rsidRPr="00F62D45" w:rsidRDefault="00F62D45" w:rsidP="001779AD">
      <w:pPr>
        <w:spacing w:after="0" w:line="240" w:lineRule="auto"/>
        <w:ind w:firstLine="567"/>
        <w:jc w:val="both"/>
        <w:rPr>
          <w:rFonts w:ascii="Book Antiqua" w:eastAsia="Times New Roman" w:hAnsi="Book Antiqua" w:cs="Times New Roman"/>
          <w:color w:val="000000"/>
          <w:sz w:val="24"/>
          <w:szCs w:val="24"/>
        </w:rPr>
      </w:pPr>
      <w:r w:rsidRPr="00F62D45">
        <w:rPr>
          <w:rFonts w:ascii="Book Antiqua" w:eastAsia="Times New Roman" w:hAnsi="Book Antiqua" w:cs="Times New Roman"/>
          <w:color w:val="000000"/>
          <w:sz w:val="24"/>
          <w:szCs w:val="24"/>
        </w:rPr>
        <w:t>Employees who perceive CSR programs as beneficial activities tend to be more loyal to the organization (Farooq et al., 2016). Putri (2019) explains that positive perceptions of CSR increase job satisfaction and employee retention. This finding supports H5, which states that perceived CSR benefits directly influence employee retention.</w:t>
      </w:r>
    </w:p>
    <w:p w14:paraId="67B023C3" w14:textId="77777777" w:rsidR="001C2D50" w:rsidRDefault="001C2D50" w:rsidP="001779AD">
      <w:pPr>
        <w:spacing w:after="0" w:line="240" w:lineRule="auto"/>
        <w:jc w:val="both"/>
        <w:rPr>
          <w:rFonts w:ascii="Book Antiqua" w:eastAsia="Times New Roman" w:hAnsi="Book Antiqua" w:cs="Times New Roman"/>
          <w:b/>
          <w:color w:val="000000"/>
          <w:sz w:val="24"/>
          <w:szCs w:val="24"/>
        </w:rPr>
      </w:pPr>
    </w:p>
    <w:p w14:paraId="6B58E33A" w14:textId="77777777" w:rsidR="00F62D45" w:rsidRPr="00F62D45" w:rsidRDefault="00F62D45" w:rsidP="001779AD">
      <w:pPr>
        <w:spacing w:after="0" w:line="240" w:lineRule="auto"/>
        <w:jc w:val="both"/>
        <w:rPr>
          <w:rFonts w:ascii="Book Antiqua" w:eastAsia="Times New Roman" w:hAnsi="Book Antiqua" w:cs="Times New Roman"/>
          <w:b/>
          <w:color w:val="000000"/>
          <w:sz w:val="24"/>
          <w:szCs w:val="24"/>
        </w:rPr>
      </w:pPr>
      <w:r w:rsidRPr="00F62D45">
        <w:rPr>
          <w:rFonts w:ascii="Book Antiqua" w:eastAsia="Times New Roman" w:hAnsi="Book Antiqua" w:cs="Times New Roman"/>
          <w:b/>
          <w:color w:val="000000"/>
          <w:sz w:val="24"/>
          <w:szCs w:val="24"/>
        </w:rPr>
        <w:t>H6: Involvement in CSR Programs Has a Positive Influence on Employee Retention through the Mediation of Work Meaning</w:t>
      </w:r>
    </w:p>
    <w:p w14:paraId="4C121DC8" w14:textId="77777777" w:rsidR="00F62D45" w:rsidRPr="00F62D45" w:rsidRDefault="00F62D45" w:rsidP="001779AD">
      <w:pPr>
        <w:spacing w:after="0" w:line="240" w:lineRule="auto"/>
        <w:ind w:firstLine="567"/>
        <w:jc w:val="both"/>
        <w:rPr>
          <w:rFonts w:ascii="Book Antiqua" w:eastAsia="Times New Roman" w:hAnsi="Book Antiqua" w:cs="Times New Roman"/>
          <w:color w:val="000000"/>
          <w:sz w:val="24"/>
          <w:szCs w:val="24"/>
        </w:rPr>
      </w:pPr>
      <w:r w:rsidRPr="00F62D45">
        <w:rPr>
          <w:rFonts w:ascii="Book Antiqua" w:eastAsia="Times New Roman" w:hAnsi="Book Antiqua" w:cs="Times New Roman"/>
          <w:color w:val="000000"/>
          <w:sz w:val="24"/>
          <w:szCs w:val="24"/>
        </w:rPr>
        <w:t>Involvement in CSR strengthens work meaning, which increases retention (Singh &amp; Pradhan, 2024). Steger et al. (2012) showed that positive work meaning increases organizational engagement. This finding supports H6, which states that CSR involvement positively influences employee retention through the mediation of work meaning.</w:t>
      </w:r>
    </w:p>
    <w:p w14:paraId="6E0D6948" w14:textId="77777777" w:rsidR="00D52B6B" w:rsidRDefault="00D52B6B" w:rsidP="001779AD">
      <w:pPr>
        <w:spacing w:after="0" w:line="240" w:lineRule="auto"/>
        <w:jc w:val="both"/>
        <w:rPr>
          <w:rFonts w:ascii="Book Antiqua" w:eastAsia="Times New Roman" w:hAnsi="Book Antiqua" w:cs="Times New Roman"/>
          <w:b/>
          <w:color w:val="000000"/>
          <w:sz w:val="24"/>
          <w:szCs w:val="24"/>
        </w:rPr>
      </w:pPr>
    </w:p>
    <w:p w14:paraId="138CD104" w14:textId="77777777" w:rsidR="00F62D45" w:rsidRPr="00F62D45" w:rsidRDefault="00F62D45" w:rsidP="001779AD">
      <w:pPr>
        <w:spacing w:after="0" w:line="240" w:lineRule="auto"/>
        <w:jc w:val="both"/>
        <w:rPr>
          <w:rFonts w:ascii="Book Antiqua" w:eastAsia="Times New Roman" w:hAnsi="Book Antiqua" w:cs="Times New Roman"/>
          <w:b/>
          <w:color w:val="000000"/>
          <w:sz w:val="24"/>
          <w:szCs w:val="24"/>
        </w:rPr>
      </w:pPr>
      <w:r w:rsidRPr="00F62D45">
        <w:rPr>
          <w:rFonts w:ascii="Book Antiqua" w:eastAsia="Times New Roman" w:hAnsi="Book Antiqua" w:cs="Times New Roman"/>
          <w:b/>
          <w:color w:val="000000"/>
          <w:sz w:val="24"/>
          <w:szCs w:val="24"/>
        </w:rPr>
        <w:t>H7: Perceived Usefulness of CSR Programs Has a Positive Influence on Employee Retention through the Mediation of Work Meaning</w:t>
      </w:r>
    </w:p>
    <w:p w14:paraId="1C3B42A0" w14:textId="77777777" w:rsidR="00F62D45" w:rsidRPr="00F62D45" w:rsidRDefault="00F62D45" w:rsidP="001779AD">
      <w:pPr>
        <w:spacing w:after="0" w:line="240" w:lineRule="auto"/>
        <w:ind w:firstLine="567"/>
        <w:jc w:val="both"/>
        <w:rPr>
          <w:rFonts w:ascii="Book Antiqua" w:eastAsia="Times New Roman" w:hAnsi="Book Antiqua" w:cs="Times New Roman"/>
          <w:color w:val="000000"/>
          <w:sz w:val="24"/>
          <w:szCs w:val="24"/>
        </w:rPr>
      </w:pPr>
      <w:r w:rsidRPr="00F62D45">
        <w:rPr>
          <w:rFonts w:ascii="Book Antiqua" w:eastAsia="Times New Roman" w:hAnsi="Book Antiqua" w:cs="Times New Roman"/>
          <w:color w:val="000000"/>
          <w:sz w:val="24"/>
          <w:szCs w:val="24"/>
        </w:rPr>
        <w:t>Positive perceptions of CSR benefits strengthen the meaning of work and increase employee loyalty to the organization (Glavas &amp; Piderit, 2009; Alshammari et al., 2019). Westover (2025) showed that authentic CSR builds loyalty. This finding supports H7, which states that perceived CSR benefits positively influence employee retention through the mediation of work meaning.</w:t>
      </w:r>
    </w:p>
    <w:p w14:paraId="2877A222" w14:textId="77777777" w:rsidR="0031121E" w:rsidRPr="00D654F7" w:rsidRDefault="00F62D45" w:rsidP="001779AD">
      <w:pPr>
        <w:spacing w:after="0" w:line="240" w:lineRule="auto"/>
        <w:ind w:firstLine="567"/>
        <w:jc w:val="both"/>
        <w:rPr>
          <w:rFonts w:ascii="Book Antiqua" w:eastAsia="Times New Roman" w:hAnsi="Book Antiqua" w:cs="Times New Roman"/>
          <w:sz w:val="24"/>
          <w:szCs w:val="24"/>
        </w:rPr>
      </w:pPr>
      <w:r w:rsidRPr="00F62D45">
        <w:rPr>
          <w:rFonts w:ascii="Book Antiqua" w:eastAsia="Times New Roman" w:hAnsi="Book Antiqua" w:cs="Times New Roman"/>
          <w:color w:val="000000"/>
          <w:sz w:val="24"/>
          <w:szCs w:val="24"/>
        </w:rPr>
        <w:t>This study concludes that employee engagement and perceived usefulness of CSR programs have a positive influence on the meaning of work and employee retention, with the meaning of work acting as a mediator that strengthens this relationship.</w:t>
      </w:r>
    </w:p>
    <w:p w14:paraId="1093BA10" w14:textId="77777777" w:rsidR="0031121E" w:rsidRDefault="0031121E" w:rsidP="001779AD">
      <w:pPr>
        <w:spacing w:after="0" w:line="240" w:lineRule="auto"/>
        <w:ind w:right="29"/>
        <w:jc w:val="both"/>
        <w:rPr>
          <w:rFonts w:ascii="Book Antiqua" w:eastAsia="Times New Roman" w:hAnsi="Book Antiqua" w:cs="Times New Roman"/>
          <w:b/>
          <w:bCs/>
          <w:sz w:val="24"/>
          <w:szCs w:val="24"/>
        </w:rPr>
      </w:pPr>
    </w:p>
    <w:p w14:paraId="0E55A4C6" w14:textId="77777777" w:rsidR="0031121E" w:rsidRPr="00D654F7" w:rsidRDefault="00B9221C" w:rsidP="001779AD">
      <w:pPr>
        <w:spacing w:after="0" w:line="240" w:lineRule="auto"/>
        <w:ind w:right="29"/>
        <w:jc w:val="both"/>
        <w:rPr>
          <w:rFonts w:ascii="Book Antiqua" w:eastAsia="Times New Roman" w:hAnsi="Book Antiqua" w:cs="Times New Roman"/>
          <w:b/>
          <w:bCs/>
          <w:sz w:val="24"/>
          <w:szCs w:val="24"/>
        </w:rPr>
      </w:pPr>
      <w:r w:rsidRPr="00D654F7">
        <w:rPr>
          <w:rFonts w:ascii="Book Antiqua" w:eastAsia="Times New Roman" w:hAnsi="Book Antiqua" w:cs="Times New Roman"/>
          <w:b/>
          <w:bCs/>
          <w:sz w:val="24"/>
          <w:szCs w:val="24"/>
        </w:rPr>
        <w:t>RESEARCH METHODS</w:t>
      </w:r>
    </w:p>
    <w:p w14:paraId="069EF2CF" w14:textId="77777777" w:rsidR="00C83DA2" w:rsidRPr="00C83DA2" w:rsidRDefault="00C83DA2" w:rsidP="001779AD">
      <w:pPr>
        <w:spacing w:after="0" w:line="240" w:lineRule="auto"/>
        <w:ind w:firstLine="562"/>
        <w:jc w:val="both"/>
        <w:rPr>
          <w:rFonts w:ascii="Book Antiqua" w:eastAsia="Times New Roman" w:hAnsi="Book Antiqua" w:cs="Times New Roman"/>
          <w:sz w:val="24"/>
          <w:szCs w:val="24"/>
        </w:rPr>
      </w:pPr>
      <w:r w:rsidRPr="00C83DA2">
        <w:rPr>
          <w:rFonts w:ascii="Book Antiqua" w:eastAsia="Times New Roman" w:hAnsi="Book Antiqua" w:cs="Times New Roman"/>
          <w:sz w:val="24"/>
          <w:szCs w:val="24"/>
        </w:rPr>
        <w:t>This study uses an associative quantitative approach to analyze the influence of employee engagement and perceived usefulness of the Sedekah Sampah Digital CSR program on employee retention, with work meaning as a mediating variable. The analysis technique used is Structural Equation Modeling–Partial Least Squares (SEM-PLS) to test the relationship between variables.</w:t>
      </w:r>
    </w:p>
    <w:p w14:paraId="1AD5AF7E" w14:textId="77777777" w:rsidR="00C83DA2" w:rsidRPr="00C83DA2" w:rsidRDefault="00C83DA2" w:rsidP="001779AD">
      <w:pPr>
        <w:spacing w:after="0" w:line="240" w:lineRule="auto"/>
        <w:ind w:firstLine="562"/>
        <w:jc w:val="both"/>
        <w:rPr>
          <w:rFonts w:ascii="Book Antiqua" w:eastAsia="Times New Roman" w:hAnsi="Book Antiqua" w:cs="Times New Roman"/>
          <w:sz w:val="24"/>
          <w:szCs w:val="24"/>
        </w:rPr>
      </w:pPr>
      <w:r w:rsidRPr="00C83DA2">
        <w:rPr>
          <w:rFonts w:ascii="Book Antiqua" w:eastAsia="Times New Roman" w:hAnsi="Book Antiqua" w:cs="Times New Roman"/>
          <w:sz w:val="24"/>
          <w:szCs w:val="24"/>
        </w:rPr>
        <w:t>Research variables included employee engagement, measured by frequency of participation, emotional involvement, concern for CSR outcomes, and motivation to participate in the program (Gupta et al., 2021). Perceived usefulness was measured by environmental, social, and personal benefits, and the program's alignment with personal values ​​(Farooq et al., 2016). Meaningfulness of work was measured by alignment of work with life values, perceived importance of work, social impact, and pride in work contributions (Lysova et al., 2019). Employee retention was measured by intention to stay, commitment, long-term satisfaction, and turnover intentions (Bilgihan &amp; Nejad, 2023). All variables were measured on a 1-5 Likert scale.</w:t>
      </w:r>
    </w:p>
    <w:p w14:paraId="12BA2268" w14:textId="77777777" w:rsidR="00C83DA2" w:rsidRPr="00C83DA2" w:rsidRDefault="00C83DA2" w:rsidP="001779AD">
      <w:pPr>
        <w:spacing w:after="0" w:line="240" w:lineRule="auto"/>
        <w:ind w:firstLine="562"/>
        <w:jc w:val="both"/>
        <w:rPr>
          <w:rFonts w:ascii="Book Antiqua" w:eastAsia="Times New Roman" w:hAnsi="Book Antiqua" w:cs="Times New Roman"/>
          <w:sz w:val="24"/>
          <w:szCs w:val="24"/>
        </w:rPr>
      </w:pPr>
      <w:r w:rsidRPr="00C83DA2">
        <w:rPr>
          <w:rFonts w:ascii="Book Antiqua" w:eastAsia="Times New Roman" w:hAnsi="Book Antiqua" w:cs="Times New Roman"/>
          <w:sz w:val="24"/>
          <w:szCs w:val="24"/>
        </w:rPr>
        <w:t>The study population was 592 employees of PT Indocement Tunggal Prakarsa Tbk. who were actively involved in the Digital Waste Charity CSR program. The sample was taken using purposive sampling with the criteria of employees with a minimum of one year of service and active involvement for three months, totaling 160 respondents. The instrument was tested on 30 respondents through a pilot test to test validity and reliability (Van Teijlingen &amp; Hundley, 2002).</w:t>
      </w:r>
    </w:p>
    <w:p w14:paraId="09C6BB03" w14:textId="77777777" w:rsidR="00C83DA2" w:rsidRPr="00C83DA2" w:rsidRDefault="00C83DA2" w:rsidP="001779AD">
      <w:pPr>
        <w:spacing w:after="0" w:line="240" w:lineRule="auto"/>
        <w:ind w:firstLine="562"/>
        <w:jc w:val="both"/>
        <w:rPr>
          <w:rFonts w:ascii="Book Antiqua" w:eastAsia="Times New Roman" w:hAnsi="Book Antiqua" w:cs="Times New Roman"/>
          <w:sz w:val="24"/>
          <w:szCs w:val="24"/>
        </w:rPr>
      </w:pPr>
      <w:r w:rsidRPr="00C83DA2">
        <w:rPr>
          <w:rFonts w:ascii="Book Antiqua" w:eastAsia="Times New Roman" w:hAnsi="Book Antiqua" w:cs="Times New Roman"/>
          <w:sz w:val="24"/>
          <w:szCs w:val="24"/>
        </w:rPr>
        <w:t>Data were collected through an online questionnaire and analyzed using SEM-PLS. Hypothesis testing was performed with a t-statistic &gt;1.96 and a p-value &lt;0.05, as well as a positive path coefficient. Model evaluation included convergent validity (outer loading, AVE), construct reliability (CR), and discriminant validity (Fornell–Larcker, HTMT). The analysis continued with testing the structural model and mediation effects using bootstrapping with 5,000 resamplings.</w:t>
      </w:r>
    </w:p>
    <w:p w14:paraId="280123A7" w14:textId="77777777" w:rsidR="0031121E" w:rsidRPr="00D654F7" w:rsidRDefault="00C83DA2" w:rsidP="001779AD">
      <w:pPr>
        <w:spacing w:after="0" w:line="240" w:lineRule="auto"/>
        <w:ind w:firstLine="562"/>
        <w:jc w:val="both"/>
        <w:rPr>
          <w:rFonts w:ascii="Book Antiqua" w:eastAsia="Times New Roman" w:hAnsi="Book Antiqua" w:cs="Times New Roman"/>
          <w:color w:val="000000"/>
          <w:sz w:val="24"/>
          <w:szCs w:val="24"/>
        </w:rPr>
      </w:pPr>
      <w:r w:rsidRPr="00C83DA2">
        <w:rPr>
          <w:rFonts w:ascii="Book Antiqua" w:eastAsia="Times New Roman" w:hAnsi="Book Antiqua" w:cs="Times New Roman"/>
          <w:sz w:val="24"/>
          <w:szCs w:val="24"/>
        </w:rPr>
        <w:t>This approach is expected to provide an understanding of the influence of employee engagement and perceptions of CSR benefits on job retention through work meaning.</w:t>
      </w:r>
    </w:p>
    <w:p w14:paraId="4EC19509" w14:textId="77777777" w:rsidR="0031121E" w:rsidRPr="00D654F7" w:rsidRDefault="0031121E" w:rsidP="001779AD">
      <w:pPr>
        <w:spacing w:after="0" w:line="240" w:lineRule="auto"/>
        <w:ind w:firstLine="567"/>
        <w:jc w:val="both"/>
        <w:rPr>
          <w:rFonts w:ascii="Book Antiqua" w:eastAsia="Times New Roman" w:hAnsi="Book Antiqua" w:cs="Times New Roman"/>
          <w:b/>
          <w:bCs/>
          <w:color w:val="000000"/>
          <w:sz w:val="24"/>
          <w:szCs w:val="24"/>
        </w:rPr>
      </w:pPr>
    </w:p>
    <w:p w14:paraId="737F4C2A" w14:textId="77777777" w:rsidR="0031121E" w:rsidRPr="00D654F7" w:rsidRDefault="00B9221C" w:rsidP="001779AD">
      <w:pPr>
        <w:spacing w:after="0" w:line="240" w:lineRule="auto"/>
        <w:jc w:val="both"/>
        <w:rPr>
          <w:rFonts w:ascii="Book Antiqua" w:eastAsia="Times New Roman" w:hAnsi="Book Antiqua" w:cs="Times New Roman"/>
          <w:b/>
          <w:bCs/>
          <w:sz w:val="24"/>
          <w:szCs w:val="24"/>
        </w:rPr>
      </w:pPr>
      <w:r w:rsidRPr="00D654F7">
        <w:rPr>
          <w:rFonts w:ascii="Book Antiqua" w:eastAsia="Times New Roman" w:hAnsi="Book Antiqua" w:cs="Times New Roman"/>
          <w:b/>
          <w:bCs/>
          <w:sz w:val="24"/>
          <w:szCs w:val="24"/>
        </w:rPr>
        <w:t>RESEARCH RESULT</w:t>
      </w:r>
    </w:p>
    <w:p w14:paraId="7599D58D" w14:textId="77777777" w:rsidR="0031121E" w:rsidRPr="00D654F7" w:rsidRDefault="00303E8B" w:rsidP="001779AD">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The participants in this study were 169 employees with diverse demographic and structural backgrounds, thus representing the diversity conditions in the work environment of PT Indocement Tunggal Prakarsa Tbk. Grouping respondents based on characteristics such as gender, age group, length of service, and duration of involvement in the Sedekah Sampah program provides a comprehensive basis for analyzing the relationship between individual characteristics and the main results of the study.</w:t>
      </w:r>
    </w:p>
    <w:p w14:paraId="29A26A73" w14:textId="77777777" w:rsidR="0031121E" w:rsidRPr="00D654F7" w:rsidRDefault="00B9221C" w:rsidP="001779AD">
      <w:pPr>
        <w:spacing w:after="0" w:line="240" w:lineRule="auto"/>
        <w:jc w:val="center"/>
        <w:rPr>
          <w:rFonts w:ascii="Book Antiqua" w:eastAsia="Times New Roman" w:hAnsi="Book Antiqua" w:cs="Times New Roman"/>
          <w:b/>
          <w:bCs/>
          <w:sz w:val="24"/>
          <w:szCs w:val="24"/>
        </w:rPr>
      </w:pPr>
      <w:bookmarkStart w:id="0" w:name="_heading=h.zf3e1fth54m1" w:colFirst="0" w:colLast="0"/>
      <w:bookmarkEnd w:id="0"/>
      <w:r w:rsidRPr="00D654F7">
        <w:rPr>
          <w:rFonts w:ascii="Book Antiqua" w:eastAsia="Times New Roman" w:hAnsi="Book Antiqua" w:cs="Times New Roman"/>
          <w:b/>
          <w:bCs/>
          <w:sz w:val="24"/>
          <w:szCs w:val="24"/>
        </w:rPr>
        <w:t>Table 1. Respondent Characteristics Based on Gender</w:t>
      </w:r>
    </w:p>
    <w:tbl>
      <w:tblPr>
        <w:tblStyle w:val="a"/>
        <w:tblW w:w="0" w:type="auto"/>
        <w:jc w:val="center"/>
        <w:tblBorders>
          <w:top w:val="single" w:sz="4" w:space="0" w:color="7F7F7F"/>
          <w:bottom w:val="single" w:sz="4" w:space="0" w:color="7F7F7F"/>
        </w:tblBorders>
        <w:tblLook w:val="04A0" w:firstRow="1" w:lastRow="0" w:firstColumn="1" w:lastColumn="0" w:noHBand="0" w:noVBand="1"/>
      </w:tblPr>
      <w:tblGrid>
        <w:gridCol w:w="1059"/>
        <w:gridCol w:w="2819"/>
        <w:gridCol w:w="1966"/>
      </w:tblGrid>
      <w:tr w:rsidR="0031121E" w:rsidRPr="00D654F7" w14:paraId="76D9BECF" w14:textId="77777777" w:rsidTr="00616E6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56DA8ABA" w14:textId="77777777" w:rsidR="0031121E" w:rsidRPr="00D654F7" w:rsidRDefault="00B9221C" w:rsidP="001779AD">
            <w:pPr>
              <w:spacing w:after="0" w:line="240" w:lineRule="auto"/>
              <w:jc w:val="center"/>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Gender</w:t>
            </w:r>
          </w:p>
        </w:tc>
        <w:tc>
          <w:tcPr>
            <w:tcW w:w="0" w:type="auto"/>
          </w:tcPr>
          <w:p w14:paraId="1908F051" w14:textId="77777777" w:rsidR="0031121E" w:rsidRPr="00D654F7" w:rsidRDefault="00B9221C" w:rsidP="001779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Number of Respondents</w:t>
            </w:r>
          </w:p>
        </w:tc>
        <w:tc>
          <w:tcPr>
            <w:tcW w:w="0" w:type="auto"/>
          </w:tcPr>
          <w:p w14:paraId="06F818BD" w14:textId="77777777" w:rsidR="0031121E" w:rsidRPr="00D654F7" w:rsidRDefault="00B9221C" w:rsidP="001779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Presentation (%)</w:t>
            </w:r>
          </w:p>
        </w:tc>
      </w:tr>
      <w:tr w:rsidR="0031121E" w:rsidRPr="00D654F7" w14:paraId="63ECEA90" w14:textId="77777777" w:rsidTr="00616E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1A79F53A" w14:textId="77777777" w:rsidR="0031121E" w:rsidRPr="00D654F7" w:rsidRDefault="00B9221C" w:rsidP="001779AD">
            <w:pPr>
              <w:spacing w:after="0" w:line="240" w:lineRule="auto"/>
              <w:jc w:val="both"/>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Man</w:t>
            </w:r>
          </w:p>
          <w:p w14:paraId="53C16672" w14:textId="77777777" w:rsidR="0031121E" w:rsidRPr="00D654F7" w:rsidRDefault="00B9221C" w:rsidP="001779AD">
            <w:pPr>
              <w:spacing w:after="0" w:line="240" w:lineRule="auto"/>
              <w:jc w:val="both"/>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Woman</w:t>
            </w:r>
          </w:p>
        </w:tc>
        <w:tc>
          <w:tcPr>
            <w:tcW w:w="0" w:type="auto"/>
          </w:tcPr>
          <w:p w14:paraId="3D83FBFB"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112</w:t>
            </w:r>
          </w:p>
          <w:p w14:paraId="0B669A7D"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57</w:t>
            </w:r>
          </w:p>
        </w:tc>
        <w:tc>
          <w:tcPr>
            <w:tcW w:w="0" w:type="auto"/>
          </w:tcPr>
          <w:p w14:paraId="7A4159C4"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66.27%</w:t>
            </w:r>
          </w:p>
          <w:p w14:paraId="381DA26C"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33.73%</w:t>
            </w:r>
          </w:p>
        </w:tc>
      </w:tr>
      <w:tr w:rsidR="0031121E" w:rsidRPr="00D654F7" w14:paraId="4ECA771C" w14:textId="77777777" w:rsidTr="00616E69">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12EF94A5" w14:textId="77777777" w:rsidR="0031121E" w:rsidRPr="00D654F7" w:rsidRDefault="00B9221C" w:rsidP="001779AD">
            <w:pPr>
              <w:spacing w:after="0" w:line="240" w:lineRule="auto"/>
              <w:jc w:val="center"/>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Total</w:t>
            </w:r>
          </w:p>
        </w:tc>
        <w:tc>
          <w:tcPr>
            <w:tcW w:w="0" w:type="auto"/>
          </w:tcPr>
          <w:p w14:paraId="0C263ADD" w14:textId="77777777" w:rsidR="0031121E" w:rsidRPr="00D654F7" w:rsidRDefault="00B9221C" w:rsidP="001779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169</w:t>
            </w:r>
          </w:p>
        </w:tc>
        <w:tc>
          <w:tcPr>
            <w:tcW w:w="0" w:type="auto"/>
          </w:tcPr>
          <w:p w14:paraId="31ACD740" w14:textId="77777777" w:rsidR="0031121E" w:rsidRPr="00D654F7" w:rsidRDefault="00B9221C" w:rsidP="001779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100%</w:t>
            </w:r>
          </w:p>
        </w:tc>
      </w:tr>
    </w:tbl>
    <w:p w14:paraId="4848443D" w14:textId="77777777" w:rsidR="0031121E" w:rsidRPr="00D654F7" w:rsidRDefault="00B6131C" w:rsidP="001779AD">
      <w:pPr>
        <w:spacing w:after="0" w:line="240" w:lineRule="auto"/>
        <w:jc w:val="center"/>
        <w:rPr>
          <w:rFonts w:ascii="Book Antiqua" w:eastAsia="Times New Roman" w:hAnsi="Book Antiqua" w:cs="Times New Roman"/>
          <w:sz w:val="24"/>
          <w:szCs w:val="24"/>
        </w:rPr>
      </w:pPr>
      <w:sdt>
        <w:sdtPr>
          <w:rPr>
            <w:rFonts w:ascii="Book Antiqua" w:hAnsi="Book Antiqua" w:cs="Times New Roman"/>
            <w:sz w:val="24"/>
            <w:szCs w:val="24"/>
          </w:rPr>
          <w:tag w:val="goog_rdk_4"/>
          <w:id w:val="-400713896"/>
        </w:sdtPr>
        <w:sdtEndPr/>
        <w:sdtContent/>
      </w:sdt>
      <w:sdt>
        <w:sdtPr>
          <w:rPr>
            <w:rFonts w:ascii="Book Antiqua" w:hAnsi="Book Antiqua" w:cs="Times New Roman"/>
            <w:sz w:val="24"/>
            <w:szCs w:val="24"/>
          </w:rPr>
          <w:tag w:val="goog_rdk_5"/>
          <w:id w:val="1397119655"/>
        </w:sdtPr>
        <w:sdtEndPr/>
        <w:sdtContent/>
      </w:sdt>
      <w:r w:rsidR="00B9221C" w:rsidRPr="00D654F7">
        <w:rPr>
          <w:rFonts w:ascii="Book Antiqua" w:eastAsia="Times New Roman" w:hAnsi="Book Antiqua" w:cs="Times New Roman"/>
          <w:sz w:val="24"/>
          <w:szCs w:val="24"/>
        </w:rPr>
        <w:t>Source: Processed data, 2025</w:t>
      </w:r>
    </w:p>
    <w:p w14:paraId="176EB48D" w14:textId="77777777" w:rsidR="0031121E" w:rsidRPr="00D654F7" w:rsidRDefault="00C7217D" w:rsidP="001779AD">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Based on Table 1, the distribution of respondents by gender shows that the majority of respondents were male, at 112 people (66.27%), while female respondents numbered 57 people (33.73%). This proportion reflects the general characteristics of the industrial sector workforce, which tends to be dominated by men, but still shows significant female representation in involvement in the digital-based Sedekah Sampah CSR program.</w:t>
      </w:r>
    </w:p>
    <w:p w14:paraId="0D113747" w14:textId="77777777" w:rsidR="0031121E" w:rsidRPr="00D654F7" w:rsidRDefault="00B9221C" w:rsidP="001779AD">
      <w:pPr>
        <w:spacing w:after="0" w:line="240" w:lineRule="auto"/>
        <w:jc w:val="center"/>
        <w:rPr>
          <w:rFonts w:ascii="Book Antiqua" w:eastAsia="Times New Roman" w:hAnsi="Book Antiqua" w:cs="Times New Roman"/>
          <w:b/>
          <w:bCs/>
          <w:sz w:val="24"/>
          <w:szCs w:val="24"/>
        </w:rPr>
      </w:pPr>
      <w:bookmarkStart w:id="1" w:name="_heading=h.j5a9p53a8eld" w:colFirst="0" w:colLast="0"/>
      <w:bookmarkEnd w:id="1"/>
      <w:r w:rsidRPr="00D654F7">
        <w:rPr>
          <w:rFonts w:ascii="Book Antiqua" w:eastAsia="Times New Roman" w:hAnsi="Book Antiqua" w:cs="Times New Roman"/>
          <w:b/>
          <w:bCs/>
          <w:sz w:val="24"/>
          <w:szCs w:val="24"/>
        </w:rPr>
        <w:t>Table 2. Respondent Characteristics Based on Age</w:t>
      </w:r>
    </w:p>
    <w:tbl>
      <w:tblPr>
        <w:tblStyle w:val="a0"/>
        <w:tblW w:w="0" w:type="auto"/>
        <w:jc w:val="center"/>
        <w:tblBorders>
          <w:top w:val="single" w:sz="4" w:space="0" w:color="7F7F7F"/>
          <w:bottom w:val="single" w:sz="4" w:space="0" w:color="7F7F7F"/>
        </w:tblBorders>
        <w:tblLook w:val="04A0" w:firstRow="1" w:lastRow="0" w:firstColumn="1" w:lastColumn="0" w:noHBand="0" w:noVBand="1"/>
      </w:tblPr>
      <w:tblGrid>
        <w:gridCol w:w="1588"/>
        <w:gridCol w:w="2819"/>
        <w:gridCol w:w="1966"/>
      </w:tblGrid>
      <w:tr w:rsidR="0031121E" w:rsidRPr="00D654F7" w14:paraId="7323A1E5" w14:textId="77777777" w:rsidTr="00616E6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68825F27" w14:textId="77777777" w:rsidR="0031121E" w:rsidRPr="00D654F7" w:rsidRDefault="00B9221C" w:rsidP="001779AD">
            <w:pPr>
              <w:spacing w:after="0" w:line="240" w:lineRule="auto"/>
              <w:jc w:val="center"/>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Age</w:t>
            </w:r>
          </w:p>
        </w:tc>
        <w:tc>
          <w:tcPr>
            <w:tcW w:w="0" w:type="auto"/>
          </w:tcPr>
          <w:p w14:paraId="6C895C7E" w14:textId="77777777" w:rsidR="0031121E" w:rsidRPr="00D654F7" w:rsidRDefault="00B9221C" w:rsidP="001779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Number of Respondents</w:t>
            </w:r>
          </w:p>
        </w:tc>
        <w:tc>
          <w:tcPr>
            <w:tcW w:w="0" w:type="auto"/>
          </w:tcPr>
          <w:p w14:paraId="6CAE3B3E" w14:textId="77777777" w:rsidR="0031121E" w:rsidRPr="00D654F7" w:rsidRDefault="00B9221C" w:rsidP="001779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Presentation (%)</w:t>
            </w:r>
          </w:p>
        </w:tc>
      </w:tr>
      <w:tr w:rsidR="0031121E" w:rsidRPr="00D654F7" w14:paraId="756E3E9B" w14:textId="77777777" w:rsidTr="00616E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906CF72" w14:textId="77777777" w:rsidR="0031121E" w:rsidRPr="00D654F7" w:rsidRDefault="00B9221C" w:rsidP="001779AD">
            <w:pPr>
              <w:spacing w:after="0" w:line="240" w:lineRule="auto"/>
              <w:jc w:val="both"/>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&lt; 25 Years</w:t>
            </w:r>
          </w:p>
          <w:p w14:paraId="555108A0" w14:textId="77777777" w:rsidR="0031121E" w:rsidRPr="00D654F7" w:rsidRDefault="00B9221C" w:rsidP="001779AD">
            <w:pPr>
              <w:spacing w:after="0" w:line="240" w:lineRule="auto"/>
              <w:jc w:val="both"/>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25 - 35 Years</w:t>
            </w:r>
          </w:p>
          <w:p w14:paraId="20C4D584" w14:textId="77777777" w:rsidR="0031121E" w:rsidRPr="00D654F7" w:rsidRDefault="00B9221C" w:rsidP="001779AD">
            <w:pPr>
              <w:spacing w:after="0" w:line="240" w:lineRule="auto"/>
              <w:jc w:val="both"/>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36 – 45 Years</w:t>
            </w:r>
          </w:p>
          <w:p w14:paraId="3A3FF84E" w14:textId="77777777" w:rsidR="0031121E" w:rsidRPr="00D654F7" w:rsidRDefault="00B9221C" w:rsidP="001779AD">
            <w:pPr>
              <w:spacing w:after="0" w:line="240" w:lineRule="auto"/>
              <w:jc w:val="both"/>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&gt; 45 Years</w:t>
            </w:r>
          </w:p>
        </w:tc>
        <w:tc>
          <w:tcPr>
            <w:tcW w:w="0" w:type="auto"/>
          </w:tcPr>
          <w:p w14:paraId="43258986"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2</w:t>
            </w:r>
          </w:p>
          <w:p w14:paraId="1219B492"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27</w:t>
            </w:r>
          </w:p>
          <w:p w14:paraId="7F31052D"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65</w:t>
            </w:r>
          </w:p>
          <w:p w14:paraId="16A07BC6"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75</w:t>
            </w:r>
          </w:p>
        </w:tc>
        <w:tc>
          <w:tcPr>
            <w:tcW w:w="0" w:type="auto"/>
          </w:tcPr>
          <w:p w14:paraId="25B9081D"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1.18%</w:t>
            </w:r>
          </w:p>
          <w:p w14:paraId="46790851"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15.98%</w:t>
            </w:r>
          </w:p>
          <w:p w14:paraId="2C40E5B7"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38.46%</w:t>
            </w:r>
          </w:p>
          <w:p w14:paraId="50B97299"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44.38%</w:t>
            </w:r>
          </w:p>
        </w:tc>
      </w:tr>
      <w:tr w:rsidR="0031121E" w:rsidRPr="00D654F7" w14:paraId="43CE0098" w14:textId="77777777" w:rsidTr="00616E69">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2164B726" w14:textId="77777777" w:rsidR="0031121E" w:rsidRPr="00D654F7" w:rsidRDefault="00B9221C" w:rsidP="001779AD">
            <w:pPr>
              <w:spacing w:after="0" w:line="240" w:lineRule="auto"/>
              <w:jc w:val="center"/>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Total</w:t>
            </w:r>
          </w:p>
        </w:tc>
        <w:tc>
          <w:tcPr>
            <w:tcW w:w="0" w:type="auto"/>
          </w:tcPr>
          <w:p w14:paraId="2FD2E394" w14:textId="77777777" w:rsidR="0031121E" w:rsidRPr="00D654F7" w:rsidRDefault="00B9221C" w:rsidP="001779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169</w:t>
            </w:r>
          </w:p>
        </w:tc>
        <w:tc>
          <w:tcPr>
            <w:tcW w:w="0" w:type="auto"/>
          </w:tcPr>
          <w:p w14:paraId="48717623" w14:textId="77777777" w:rsidR="0031121E" w:rsidRPr="00D654F7" w:rsidRDefault="00B9221C" w:rsidP="001779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100%</w:t>
            </w:r>
          </w:p>
        </w:tc>
      </w:tr>
    </w:tbl>
    <w:p w14:paraId="50F9A5ED" w14:textId="77777777" w:rsidR="0031121E" w:rsidRPr="00D654F7" w:rsidRDefault="00B9221C" w:rsidP="001779AD">
      <w:pPr>
        <w:spacing w:after="0" w:line="240" w:lineRule="auto"/>
        <w:jc w:val="center"/>
        <w:rPr>
          <w:rFonts w:ascii="Book Antiqua" w:eastAsia="Times New Roman" w:hAnsi="Book Antiqua" w:cs="Times New Roman"/>
          <w:sz w:val="24"/>
          <w:szCs w:val="24"/>
        </w:rPr>
      </w:pPr>
      <w:r w:rsidRPr="00D654F7">
        <w:rPr>
          <w:rFonts w:ascii="Book Antiqua" w:eastAsia="Times New Roman" w:hAnsi="Book Antiqua" w:cs="Times New Roman"/>
          <w:sz w:val="24"/>
          <w:szCs w:val="24"/>
        </w:rPr>
        <w:t>Source: Processed data, 2025</w:t>
      </w:r>
    </w:p>
    <w:p w14:paraId="145F65B8" w14:textId="77777777" w:rsidR="0031121E" w:rsidRPr="00D654F7" w:rsidRDefault="00C7217D" w:rsidP="001779AD">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Based on Table 2, the characteristics of respondents by age indicate that the majority of respondents are in the productive age category. The age group over 45 years old dominates with a percentage of 44.38%, followed by respondents aged 36–45 years old at 38.46%. The dominance of these two age groups indicates that the majority of respondents are employees with a relatively high level of work experience and the potential for strong attachment to the organization. On the other hand, respondents in the age group under 25 years old numbered only two people, or 1.18%, indicating that participation in the digital-based Sedekah Sampah CSR program mostly involves employees with a more established level of maturity and work experience.</w:t>
      </w:r>
    </w:p>
    <w:p w14:paraId="2ACDF78C" w14:textId="77777777" w:rsidR="0031121E" w:rsidRPr="00D654F7" w:rsidRDefault="00B9221C" w:rsidP="001779AD">
      <w:pPr>
        <w:spacing w:after="0" w:line="240" w:lineRule="auto"/>
        <w:jc w:val="center"/>
        <w:rPr>
          <w:rFonts w:ascii="Book Antiqua" w:eastAsia="Times New Roman" w:hAnsi="Book Antiqua" w:cs="Times New Roman"/>
          <w:b/>
          <w:bCs/>
          <w:sz w:val="24"/>
          <w:szCs w:val="24"/>
        </w:rPr>
      </w:pPr>
      <w:bookmarkStart w:id="2" w:name="_heading=h.urvnbcka4chx" w:colFirst="0" w:colLast="0"/>
      <w:bookmarkEnd w:id="2"/>
      <w:r w:rsidRPr="00D654F7">
        <w:rPr>
          <w:rFonts w:ascii="Book Antiqua" w:eastAsia="Times New Roman" w:hAnsi="Book Antiqua" w:cs="Times New Roman"/>
          <w:b/>
          <w:bCs/>
          <w:sz w:val="24"/>
          <w:szCs w:val="24"/>
        </w:rPr>
        <w:t>Table 3. Respondent Characteristics Based on Length of Service at the Company</w:t>
      </w:r>
    </w:p>
    <w:tbl>
      <w:tblPr>
        <w:tblStyle w:val="a1"/>
        <w:tblW w:w="0" w:type="auto"/>
        <w:jc w:val="center"/>
        <w:tblBorders>
          <w:top w:val="single" w:sz="4" w:space="0" w:color="7F7F7F"/>
          <w:bottom w:val="single" w:sz="4" w:space="0" w:color="7F7F7F"/>
        </w:tblBorders>
        <w:tblLook w:val="04A0" w:firstRow="1" w:lastRow="0" w:firstColumn="1" w:lastColumn="0" w:noHBand="0" w:noVBand="1"/>
      </w:tblPr>
      <w:tblGrid>
        <w:gridCol w:w="1860"/>
        <w:gridCol w:w="2819"/>
        <w:gridCol w:w="1966"/>
      </w:tblGrid>
      <w:tr w:rsidR="0031121E" w:rsidRPr="00D654F7" w14:paraId="481FBCD3" w14:textId="77777777" w:rsidTr="00616E6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A9E7613" w14:textId="77777777" w:rsidR="0031121E" w:rsidRPr="00D654F7" w:rsidRDefault="00B9221C" w:rsidP="001779AD">
            <w:pPr>
              <w:spacing w:after="0" w:line="240" w:lineRule="auto"/>
              <w:jc w:val="center"/>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Length of work</w:t>
            </w:r>
          </w:p>
        </w:tc>
        <w:tc>
          <w:tcPr>
            <w:tcW w:w="0" w:type="auto"/>
          </w:tcPr>
          <w:p w14:paraId="6C2483ED" w14:textId="77777777" w:rsidR="0031121E" w:rsidRPr="00D654F7" w:rsidRDefault="00B9221C" w:rsidP="001779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Number of Respondents</w:t>
            </w:r>
          </w:p>
        </w:tc>
        <w:tc>
          <w:tcPr>
            <w:tcW w:w="0" w:type="auto"/>
          </w:tcPr>
          <w:p w14:paraId="4FE610CF" w14:textId="77777777" w:rsidR="0031121E" w:rsidRPr="00D654F7" w:rsidRDefault="00B9221C" w:rsidP="001779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Presentation (%)</w:t>
            </w:r>
          </w:p>
        </w:tc>
      </w:tr>
      <w:tr w:rsidR="0031121E" w:rsidRPr="00D654F7" w14:paraId="2221A7EA" w14:textId="77777777" w:rsidTr="00616E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049BCC83" w14:textId="77777777" w:rsidR="0031121E" w:rsidRPr="00D654F7" w:rsidRDefault="00B6131C" w:rsidP="001779AD">
            <w:pPr>
              <w:spacing w:after="0" w:line="240" w:lineRule="auto"/>
              <w:jc w:val="both"/>
              <w:rPr>
                <w:rFonts w:ascii="Book Antiqua" w:eastAsia="Times New Roman" w:hAnsi="Book Antiqua" w:cs="Times New Roman"/>
                <w:sz w:val="24"/>
                <w:szCs w:val="24"/>
              </w:rPr>
            </w:pPr>
            <w:sdt>
              <w:sdtPr>
                <w:rPr>
                  <w:rFonts w:ascii="Book Antiqua" w:hAnsi="Book Antiqua" w:cs="Times New Roman"/>
                  <w:sz w:val="24"/>
                  <w:szCs w:val="24"/>
                </w:rPr>
                <w:tag w:val="goog_rdk_6"/>
                <w:id w:val="-470643533"/>
              </w:sdtPr>
              <w:sdtEndPr/>
              <w:sdtContent>
                <w:r w:rsidR="00B9221C" w:rsidRPr="00D654F7">
                  <w:rPr>
                    <w:rFonts w:ascii="Book Antiqua" w:eastAsia="Gungsuh" w:hAnsi="Book Antiqua" w:cs="Times New Roman"/>
                    <w:b w:val="0"/>
                    <w:bCs w:val="0"/>
                    <w:sz w:val="24"/>
                    <w:szCs w:val="24"/>
                  </w:rPr>
                  <w:t>≤ 1 Year</w:t>
                </w:r>
              </w:sdtContent>
            </w:sdt>
          </w:p>
          <w:p w14:paraId="6801799B" w14:textId="77777777" w:rsidR="0031121E" w:rsidRPr="00D654F7" w:rsidRDefault="00B9221C" w:rsidP="001779AD">
            <w:pPr>
              <w:spacing w:after="0" w:line="240" w:lineRule="auto"/>
              <w:jc w:val="both"/>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13 years old</w:t>
            </w:r>
          </w:p>
          <w:p w14:paraId="1BA31C1B" w14:textId="77777777" w:rsidR="0031121E" w:rsidRPr="00D654F7" w:rsidRDefault="00B9221C" w:rsidP="001779AD">
            <w:pPr>
              <w:spacing w:after="0" w:line="240" w:lineRule="auto"/>
              <w:jc w:val="both"/>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4 - 6 Years</w:t>
            </w:r>
          </w:p>
          <w:p w14:paraId="5B7A07C1" w14:textId="77777777" w:rsidR="0031121E" w:rsidRPr="00D654F7" w:rsidRDefault="00B9221C" w:rsidP="001779AD">
            <w:pPr>
              <w:spacing w:after="0" w:line="240" w:lineRule="auto"/>
              <w:jc w:val="both"/>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&gt; 6 Years</w:t>
            </w:r>
          </w:p>
        </w:tc>
        <w:tc>
          <w:tcPr>
            <w:tcW w:w="0" w:type="auto"/>
          </w:tcPr>
          <w:p w14:paraId="7388700B"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3</w:t>
            </w:r>
          </w:p>
          <w:p w14:paraId="543F5CA4"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8</w:t>
            </w:r>
          </w:p>
          <w:p w14:paraId="1DD1E928"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4</w:t>
            </w:r>
          </w:p>
          <w:p w14:paraId="18EA5463"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154</w:t>
            </w:r>
          </w:p>
        </w:tc>
        <w:tc>
          <w:tcPr>
            <w:tcW w:w="0" w:type="auto"/>
          </w:tcPr>
          <w:p w14:paraId="70B41DEC"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1.78%</w:t>
            </w:r>
          </w:p>
          <w:p w14:paraId="48ECDD45"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4.73%</w:t>
            </w:r>
          </w:p>
          <w:p w14:paraId="41F187B1"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2.37%</w:t>
            </w:r>
          </w:p>
          <w:p w14:paraId="69EF7328"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91.12%</w:t>
            </w:r>
          </w:p>
        </w:tc>
      </w:tr>
      <w:tr w:rsidR="0031121E" w:rsidRPr="00D654F7" w14:paraId="7BE69AB4" w14:textId="77777777" w:rsidTr="00616E69">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00338272" w14:textId="77777777" w:rsidR="0031121E" w:rsidRPr="00D654F7" w:rsidRDefault="00B9221C" w:rsidP="001779AD">
            <w:pPr>
              <w:spacing w:after="0" w:line="240" w:lineRule="auto"/>
              <w:jc w:val="center"/>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Total</w:t>
            </w:r>
          </w:p>
        </w:tc>
        <w:tc>
          <w:tcPr>
            <w:tcW w:w="0" w:type="auto"/>
          </w:tcPr>
          <w:p w14:paraId="531FF900" w14:textId="77777777" w:rsidR="0031121E" w:rsidRPr="00D654F7" w:rsidRDefault="00B9221C" w:rsidP="001779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169</w:t>
            </w:r>
          </w:p>
        </w:tc>
        <w:tc>
          <w:tcPr>
            <w:tcW w:w="0" w:type="auto"/>
          </w:tcPr>
          <w:p w14:paraId="0CA04793" w14:textId="77777777" w:rsidR="0031121E" w:rsidRPr="00D654F7" w:rsidRDefault="00B9221C" w:rsidP="001779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100%</w:t>
            </w:r>
          </w:p>
        </w:tc>
      </w:tr>
    </w:tbl>
    <w:p w14:paraId="58C9F675" w14:textId="77777777" w:rsidR="0031121E" w:rsidRPr="00D654F7" w:rsidRDefault="00B9221C" w:rsidP="001779AD">
      <w:pPr>
        <w:spacing w:after="0" w:line="240" w:lineRule="auto"/>
        <w:jc w:val="center"/>
        <w:rPr>
          <w:rFonts w:ascii="Book Antiqua" w:eastAsia="Times New Roman" w:hAnsi="Book Antiqua" w:cs="Times New Roman"/>
          <w:sz w:val="24"/>
          <w:szCs w:val="24"/>
        </w:rPr>
      </w:pPr>
      <w:r w:rsidRPr="00D654F7">
        <w:rPr>
          <w:rFonts w:ascii="Book Antiqua" w:eastAsia="Times New Roman" w:hAnsi="Book Antiqua" w:cs="Times New Roman"/>
          <w:sz w:val="24"/>
          <w:szCs w:val="24"/>
        </w:rPr>
        <w:t>Source: Processed data, 2025</w:t>
      </w:r>
    </w:p>
    <w:p w14:paraId="5700C523" w14:textId="77777777" w:rsidR="0031121E" w:rsidRPr="00D654F7" w:rsidRDefault="00B9221C" w:rsidP="001779AD">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Based on Table 3, in terms of length of service, the majority of respondents (91.12%) had worked at the company for more than six years. This figure indicates that the majority of program participants are long-term, loyal employees who may be more interested in corporate social initiatives. Only a small proportion of respondents were from the group with less than six years of service, suggesting that the continuity of the employment relationship may be a contributing factor in shaping interest in corporate social program participation.</w:t>
      </w:r>
    </w:p>
    <w:p w14:paraId="5397B95D" w14:textId="77777777" w:rsidR="0031121E" w:rsidRPr="00D654F7" w:rsidRDefault="00B9221C" w:rsidP="001779AD">
      <w:pPr>
        <w:spacing w:after="0" w:line="240" w:lineRule="auto"/>
        <w:jc w:val="center"/>
        <w:rPr>
          <w:rFonts w:ascii="Book Antiqua" w:eastAsia="Times New Roman" w:hAnsi="Book Antiqua" w:cs="Times New Roman"/>
          <w:b/>
          <w:bCs/>
          <w:sz w:val="24"/>
          <w:szCs w:val="24"/>
        </w:rPr>
      </w:pPr>
      <w:bookmarkStart w:id="3" w:name="_heading=h.wo7i0yn8stn3" w:colFirst="0" w:colLast="0"/>
      <w:bookmarkEnd w:id="3"/>
      <w:r w:rsidRPr="00D654F7">
        <w:rPr>
          <w:rFonts w:ascii="Book Antiqua" w:eastAsia="Times New Roman" w:hAnsi="Book Antiqua" w:cs="Times New Roman"/>
          <w:b/>
          <w:bCs/>
          <w:sz w:val="24"/>
          <w:szCs w:val="24"/>
        </w:rPr>
        <w:t>Table 4. Respondent Characteristics Based on Length of Time as a Program Customer</w:t>
      </w:r>
    </w:p>
    <w:tbl>
      <w:tblPr>
        <w:tblStyle w:val="a2"/>
        <w:tblW w:w="0" w:type="auto"/>
        <w:jc w:val="center"/>
        <w:tblBorders>
          <w:top w:val="single" w:sz="4" w:space="0" w:color="7F7F7F"/>
          <w:bottom w:val="single" w:sz="4" w:space="0" w:color="7F7F7F"/>
        </w:tblBorders>
        <w:tblLook w:val="04A0" w:firstRow="1" w:lastRow="0" w:firstColumn="1" w:lastColumn="0" w:noHBand="0" w:noVBand="1"/>
      </w:tblPr>
      <w:tblGrid>
        <w:gridCol w:w="3413"/>
        <w:gridCol w:w="2819"/>
        <w:gridCol w:w="1966"/>
      </w:tblGrid>
      <w:tr w:rsidR="0031121E" w:rsidRPr="00D654F7" w14:paraId="23AF607D" w14:textId="77777777" w:rsidTr="00616E6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7EAF02F7" w14:textId="77777777" w:rsidR="0031121E" w:rsidRPr="00D654F7" w:rsidRDefault="00B9221C" w:rsidP="001779AD">
            <w:pPr>
              <w:spacing w:after="0" w:line="240" w:lineRule="auto"/>
              <w:jc w:val="center"/>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Length of Time as a Customer</w:t>
            </w:r>
          </w:p>
        </w:tc>
        <w:tc>
          <w:tcPr>
            <w:tcW w:w="0" w:type="auto"/>
          </w:tcPr>
          <w:p w14:paraId="1B11CA4C" w14:textId="77777777" w:rsidR="0031121E" w:rsidRPr="00D654F7" w:rsidRDefault="00B9221C" w:rsidP="001779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Number of Respondents</w:t>
            </w:r>
          </w:p>
        </w:tc>
        <w:tc>
          <w:tcPr>
            <w:tcW w:w="0" w:type="auto"/>
          </w:tcPr>
          <w:p w14:paraId="148A9629" w14:textId="77777777" w:rsidR="0031121E" w:rsidRPr="00D654F7" w:rsidRDefault="00B9221C" w:rsidP="001779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Presentation (%)</w:t>
            </w:r>
          </w:p>
        </w:tc>
      </w:tr>
      <w:tr w:rsidR="0031121E" w:rsidRPr="00D654F7" w14:paraId="3A4C4A16" w14:textId="77777777" w:rsidTr="00616E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1A155ABA" w14:textId="77777777" w:rsidR="0031121E" w:rsidRPr="00D654F7" w:rsidRDefault="00B9221C" w:rsidP="001779AD">
            <w:pPr>
              <w:spacing w:after="0" w:line="240" w:lineRule="auto"/>
              <w:jc w:val="both"/>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3 Months – 1 Year</w:t>
            </w:r>
          </w:p>
          <w:p w14:paraId="404657B4" w14:textId="77777777" w:rsidR="0031121E" w:rsidRPr="00D654F7" w:rsidRDefault="00B9221C" w:rsidP="001779AD">
            <w:pPr>
              <w:spacing w:after="0" w:line="240" w:lineRule="auto"/>
              <w:jc w:val="both"/>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12 years old</w:t>
            </w:r>
          </w:p>
          <w:p w14:paraId="659F6ED4" w14:textId="77777777" w:rsidR="0031121E" w:rsidRPr="00D654F7" w:rsidRDefault="00B9221C" w:rsidP="001779AD">
            <w:pPr>
              <w:spacing w:after="0" w:line="240" w:lineRule="auto"/>
              <w:jc w:val="both"/>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23 years</w:t>
            </w:r>
          </w:p>
          <w:p w14:paraId="306B9E12" w14:textId="77777777" w:rsidR="0031121E" w:rsidRPr="00D654F7" w:rsidRDefault="00B9221C" w:rsidP="001779AD">
            <w:pPr>
              <w:spacing w:after="0" w:line="240" w:lineRule="auto"/>
              <w:jc w:val="both"/>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&gt; 3 Years</w:t>
            </w:r>
          </w:p>
        </w:tc>
        <w:tc>
          <w:tcPr>
            <w:tcW w:w="0" w:type="auto"/>
          </w:tcPr>
          <w:p w14:paraId="2B9BF753"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29</w:t>
            </w:r>
          </w:p>
          <w:p w14:paraId="196BFC61"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41</w:t>
            </w:r>
          </w:p>
          <w:p w14:paraId="5EBDC4D1"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39</w:t>
            </w:r>
          </w:p>
          <w:p w14:paraId="31346CE1"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60</w:t>
            </w:r>
          </w:p>
        </w:tc>
        <w:tc>
          <w:tcPr>
            <w:tcW w:w="0" w:type="auto"/>
          </w:tcPr>
          <w:p w14:paraId="4341BD3E"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17.16%</w:t>
            </w:r>
          </w:p>
          <w:p w14:paraId="4C05D4A1"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24.26%</w:t>
            </w:r>
          </w:p>
          <w:p w14:paraId="16BB0DEA"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23.08%</w:t>
            </w:r>
          </w:p>
          <w:p w14:paraId="2111934A" w14:textId="77777777" w:rsidR="0031121E" w:rsidRPr="00D654F7" w:rsidRDefault="00B9221C" w:rsidP="001779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35.50%</w:t>
            </w:r>
          </w:p>
        </w:tc>
      </w:tr>
      <w:tr w:rsidR="0031121E" w:rsidRPr="00D654F7" w14:paraId="653A3E93" w14:textId="77777777" w:rsidTr="00616E69">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1BC2FD6B" w14:textId="77777777" w:rsidR="0031121E" w:rsidRPr="00D654F7" w:rsidRDefault="00B9221C" w:rsidP="001779AD">
            <w:pPr>
              <w:spacing w:after="0" w:line="240" w:lineRule="auto"/>
              <w:jc w:val="center"/>
              <w:rPr>
                <w:rFonts w:ascii="Book Antiqua" w:eastAsia="Times New Roman" w:hAnsi="Book Antiqua" w:cs="Times New Roman"/>
                <w:sz w:val="24"/>
                <w:szCs w:val="24"/>
              </w:rPr>
            </w:pPr>
            <w:r w:rsidRPr="00D654F7">
              <w:rPr>
                <w:rFonts w:ascii="Book Antiqua" w:eastAsia="Times New Roman" w:hAnsi="Book Antiqua" w:cs="Times New Roman"/>
                <w:b w:val="0"/>
                <w:bCs w:val="0"/>
                <w:sz w:val="24"/>
                <w:szCs w:val="24"/>
              </w:rPr>
              <w:t>Total</w:t>
            </w:r>
          </w:p>
        </w:tc>
        <w:tc>
          <w:tcPr>
            <w:tcW w:w="0" w:type="auto"/>
          </w:tcPr>
          <w:p w14:paraId="2280BA07" w14:textId="77777777" w:rsidR="0031121E" w:rsidRPr="00D654F7" w:rsidRDefault="00B9221C" w:rsidP="001779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169</w:t>
            </w:r>
          </w:p>
        </w:tc>
        <w:tc>
          <w:tcPr>
            <w:tcW w:w="0" w:type="auto"/>
          </w:tcPr>
          <w:p w14:paraId="3F6D754F" w14:textId="77777777" w:rsidR="0031121E" w:rsidRPr="00D654F7" w:rsidRDefault="00B9221C" w:rsidP="001779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sz w:val="24"/>
                <w:szCs w:val="24"/>
              </w:rPr>
            </w:pPr>
            <w:r w:rsidRPr="00D654F7">
              <w:rPr>
                <w:rFonts w:ascii="Book Antiqua" w:eastAsia="Times New Roman" w:hAnsi="Book Antiqua" w:cs="Times New Roman"/>
                <w:sz w:val="24"/>
                <w:szCs w:val="24"/>
              </w:rPr>
              <w:t>100%</w:t>
            </w:r>
          </w:p>
        </w:tc>
      </w:tr>
    </w:tbl>
    <w:p w14:paraId="067F764E" w14:textId="77777777" w:rsidR="0031121E" w:rsidRPr="00D654F7" w:rsidRDefault="00B9221C" w:rsidP="001779AD">
      <w:pPr>
        <w:spacing w:after="0" w:line="240" w:lineRule="auto"/>
        <w:jc w:val="center"/>
        <w:rPr>
          <w:rFonts w:ascii="Book Antiqua" w:eastAsia="Times New Roman" w:hAnsi="Book Antiqua" w:cs="Times New Roman"/>
          <w:sz w:val="24"/>
          <w:szCs w:val="24"/>
        </w:rPr>
      </w:pPr>
      <w:r w:rsidRPr="00D654F7">
        <w:rPr>
          <w:rFonts w:ascii="Book Antiqua" w:eastAsia="Times New Roman" w:hAnsi="Book Antiqua" w:cs="Times New Roman"/>
          <w:sz w:val="24"/>
          <w:szCs w:val="24"/>
        </w:rPr>
        <w:t>Source: Processed data, 2025</w:t>
      </w:r>
    </w:p>
    <w:p w14:paraId="62EA4D33" w14:textId="77777777" w:rsidR="0031121E" w:rsidRPr="00D654F7" w:rsidRDefault="00B9221C" w:rsidP="001779AD">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Based on Table 4, in terms of duration of membership in the digital-based Sedekah Sampah program, the majority of respondents have participated in the program for more than three years (35.50%). This indicates that the program has a fairly good level of sustainability and demonstrates consistent employee interest in sustainability-based social activities. Groups with participation between one and two years (24.26%) and two and three years (23.08%) also account for a large share, indicating that the program remains attractive to new employees.</w:t>
      </w:r>
    </w:p>
    <w:p w14:paraId="51A08693" w14:textId="77777777" w:rsidR="005F7FE0" w:rsidRPr="00D654F7" w:rsidRDefault="00B9221C" w:rsidP="001779AD">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Overall, the demographic characteristics and organizational backgrounds of respondents provide a strong basis for assessing their involvement in the digital-based Sedekah Sampah CSR program. The predominance of respondents with long tenure and productive age indicates that the program has penetrated employees who are more closely aligned with the company's values. This can serve as a foundation for formulating future CSR program development strategies to be more inclusive of new employees and younger age groups.</w:t>
      </w:r>
    </w:p>
    <w:p w14:paraId="1657A892" w14:textId="77777777" w:rsidR="00C7217D" w:rsidRPr="00D654F7" w:rsidRDefault="00C7217D" w:rsidP="001779AD">
      <w:pPr>
        <w:spacing w:after="0" w:line="240" w:lineRule="auto"/>
        <w:jc w:val="both"/>
        <w:rPr>
          <w:rFonts w:ascii="Book Antiqua" w:eastAsia="Times New Roman" w:hAnsi="Book Antiqua" w:cs="Times New Roman"/>
          <w:b/>
          <w:bCs/>
          <w:sz w:val="24"/>
          <w:szCs w:val="24"/>
        </w:rPr>
      </w:pPr>
    </w:p>
    <w:p w14:paraId="3BEAA37C" w14:textId="77777777" w:rsidR="0031121E" w:rsidRPr="00D654F7" w:rsidRDefault="00B9221C" w:rsidP="001779AD">
      <w:pPr>
        <w:spacing w:after="0" w:line="240" w:lineRule="auto"/>
        <w:jc w:val="both"/>
        <w:rPr>
          <w:rFonts w:ascii="Book Antiqua" w:eastAsia="Times New Roman" w:hAnsi="Book Antiqua" w:cs="Times New Roman"/>
          <w:b/>
          <w:bCs/>
          <w:sz w:val="24"/>
          <w:szCs w:val="24"/>
        </w:rPr>
      </w:pPr>
      <w:r w:rsidRPr="00D654F7">
        <w:rPr>
          <w:rFonts w:ascii="Book Antiqua" w:eastAsia="Times New Roman" w:hAnsi="Book Antiqua" w:cs="Times New Roman"/>
          <w:b/>
          <w:bCs/>
          <w:sz w:val="24"/>
          <w:szCs w:val="24"/>
        </w:rPr>
        <w:t>Analysis Test Results</w:t>
      </w:r>
    </w:p>
    <w:p w14:paraId="338E9999" w14:textId="77777777" w:rsidR="0031121E" w:rsidRPr="00D654F7" w:rsidRDefault="00B9221C" w:rsidP="001779AD">
      <w:pPr>
        <w:pBdr>
          <w:top w:val="nil"/>
          <w:left w:val="nil"/>
          <w:bottom w:val="nil"/>
          <w:right w:val="nil"/>
          <w:between w:val="nil"/>
        </w:pBdr>
        <w:spacing w:after="0" w:line="240" w:lineRule="auto"/>
        <w:jc w:val="both"/>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Evaluation of Measurement Model (Outer Model)</w:t>
      </w:r>
    </w:p>
    <w:p w14:paraId="00A75C5A" w14:textId="77777777" w:rsidR="0031121E" w:rsidRPr="00D654F7" w:rsidRDefault="00C7217D" w:rsidP="001779AD">
      <w:pPr>
        <w:pBdr>
          <w:top w:val="nil"/>
          <w:left w:val="nil"/>
          <w:bottom w:val="nil"/>
          <w:right w:val="nil"/>
          <w:between w:val="nil"/>
        </w:pBdr>
        <w:spacing w:after="0" w:line="240" w:lineRule="auto"/>
        <w:ind w:firstLine="567"/>
        <w:jc w:val="both"/>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This stage is carried out to ensure the validity and reliability of the indicators used to measure the latent variables. The results of the evaluation of the outer model serve as the primary basis for determining the feasibility of the research instrument before the analysis proceeds to testing the structural model.</w:t>
      </w:r>
    </w:p>
    <w:p w14:paraId="2F8E8D09" w14:textId="77777777" w:rsidR="001779AD" w:rsidRDefault="001779AD" w:rsidP="001779AD">
      <w:pPr>
        <w:pBdr>
          <w:top w:val="nil"/>
          <w:left w:val="nil"/>
          <w:bottom w:val="nil"/>
          <w:right w:val="nil"/>
          <w:between w:val="nil"/>
        </w:pBdr>
        <w:spacing w:after="0" w:line="240" w:lineRule="auto"/>
        <w:ind w:left="357"/>
        <w:jc w:val="both"/>
        <w:rPr>
          <w:rFonts w:ascii="Book Antiqua" w:eastAsia="Times New Roman" w:hAnsi="Book Antiqua" w:cs="Times New Roman"/>
          <w:b/>
          <w:bCs/>
          <w:color w:val="000000"/>
          <w:sz w:val="24"/>
          <w:szCs w:val="24"/>
        </w:rPr>
      </w:pPr>
      <w:bookmarkStart w:id="4" w:name="_heading=h.4qmsyqk44gtr" w:colFirst="0" w:colLast="0"/>
      <w:bookmarkEnd w:id="4"/>
    </w:p>
    <w:p w14:paraId="0AC56FC9" w14:textId="77777777" w:rsidR="0031121E" w:rsidRPr="00D654F7" w:rsidRDefault="00B9221C" w:rsidP="001779AD">
      <w:pPr>
        <w:numPr>
          <w:ilvl w:val="0"/>
          <w:numId w:val="3"/>
        </w:numPr>
        <w:pBdr>
          <w:top w:val="nil"/>
          <w:left w:val="nil"/>
          <w:bottom w:val="nil"/>
          <w:right w:val="nil"/>
          <w:between w:val="nil"/>
        </w:pBdr>
        <w:spacing w:after="0" w:line="240" w:lineRule="auto"/>
        <w:ind w:left="357" w:hanging="357"/>
        <w:jc w:val="both"/>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Convergent Validity Test (Outer Loading Reliability Indicator)</w:t>
      </w:r>
    </w:p>
    <w:p w14:paraId="535E2502" w14:textId="77777777" w:rsidR="0031121E" w:rsidRPr="00D654F7" w:rsidRDefault="00C7217D" w:rsidP="001779AD">
      <w:pPr>
        <w:pBdr>
          <w:top w:val="nil"/>
          <w:left w:val="nil"/>
          <w:bottom w:val="nil"/>
          <w:right w:val="nil"/>
          <w:between w:val="nil"/>
        </w:pBdr>
        <w:spacing w:after="0" w:line="240" w:lineRule="auto"/>
        <w:ind w:firstLine="720"/>
        <w:jc w:val="both"/>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Evaluation of the measurement model begins with examining the outer loading value for each indicator. A higher outer loading value reflects a strong relationship between the indicator and the construct it represents. Hair et al. (2022) suggest that an acceptable outer loading value is at least 0.7. The results of testing against this criterion are presented in the following table.</w:t>
      </w:r>
    </w:p>
    <w:p w14:paraId="5DBE9BA6" w14:textId="77777777" w:rsidR="0031121E" w:rsidRPr="00D654F7" w:rsidRDefault="00B9221C" w:rsidP="001779AD">
      <w:pPr>
        <w:pBdr>
          <w:top w:val="nil"/>
          <w:left w:val="nil"/>
          <w:bottom w:val="nil"/>
          <w:right w:val="nil"/>
          <w:between w:val="nil"/>
        </w:pBdr>
        <w:spacing w:after="0" w:line="240" w:lineRule="auto"/>
        <w:jc w:val="center"/>
        <w:rPr>
          <w:rFonts w:ascii="Book Antiqua" w:eastAsia="Times New Roman" w:hAnsi="Book Antiqua" w:cs="Times New Roman"/>
          <w:b/>
          <w:bCs/>
          <w:color w:val="000000"/>
          <w:sz w:val="24"/>
          <w:szCs w:val="24"/>
        </w:rPr>
      </w:pPr>
      <w:bookmarkStart w:id="5" w:name="_heading=h.uw54fdwnr0j3" w:colFirst="0" w:colLast="0"/>
      <w:bookmarkEnd w:id="5"/>
      <w:r w:rsidRPr="00D654F7">
        <w:rPr>
          <w:rFonts w:ascii="Book Antiqua" w:eastAsia="Times New Roman" w:hAnsi="Book Antiqua" w:cs="Times New Roman"/>
          <w:b/>
          <w:bCs/>
          <w:color w:val="000000"/>
          <w:sz w:val="24"/>
          <w:szCs w:val="24"/>
        </w:rPr>
        <w:t>Table 5. Convergent Validity Test</w:t>
      </w:r>
    </w:p>
    <w:tbl>
      <w:tblPr>
        <w:tblStyle w:val="a3"/>
        <w:tblW w:w="5000" w:type="pct"/>
        <w:jc w:val="center"/>
        <w:tblLook w:val="0400" w:firstRow="0" w:lastRow="0" w:firstColumn="0" w:lastColumn="0" w:noHBand="0" w:noVBand="1"/>
      </w:tblPr>
      <w:tblGrid>
        <w:gridCol w:w="1255"/>
        <w:gridCol w:w="1555"/>
        <w:gridCol w:w="1411"/>
        <w:gridCol w:w="1295"/>
        <w:gridCol w:w="1191"/>
        <w:gridCol w:w="1022"/>
        <w:gridCol w:w="1528"/>
      </w:tblGrid>
      <w:tr w:rsidR="0031121E" w:rsidRPr="00D654F7" w14:paraId="05D8C70C" w14:textId="77777777" w:rsidTr="00616E69">
        <w:trPr>
          <w:trHeight w:val="1215"/>
          <w:jc w:val="center"/>
        </w:trPr>
        <w:tc>
          <w:tcPr>
            <w:tcW w:w="60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4661042" w14:textId="77777777" w:rsidR="0031121E" w:rsidRPr="00D654F7" w:rsidRDefault="00B9221C" w:rsidP="001779AD">
            <w:pPr>
              <w:spacing w:after="0" w:line="240" w:lineRule="auto"/>
              <w:jc w:val="center"/>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Latent Variables</w:t>
            </w:r>
          </w:p>
        </w:tc>
        <w:tc>
          <w:tcPr>
            <w:tcW w:w="823" w:type="pct"/>
            <w:tcBorders>
              <w:top w:val="single" w:sz="8" w:space="0" w:color="000000"/>
              <w:left w:val="nil"/>
              <w:bottom w:val="single" w:sz="8" w:space="0" w:color="000000"/>
              <w:right w:val="single" w:sz="8" w:space="0" w:color="000000"/>
            </w:tcBorders>
            <w:shd w:val="clear" w:color="auto" w:fill="auto"/>
            <w:vAlign w:val="center"/>
          </w:tcPr>
          <w:p w14:paraId="0A8AB5D5" w14:textId="77777777" w:rsidR="0031121E" w:rsidRPr="00D654F7" w:rsidRDefault="00B9221C" w:rsidP="001779AD">
            <w:pPr>
              <w:spacing w:after="0" w:line="240" w:lineRule="auto"/>
              <w:jc w:val="center"/>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Employee Engagement (X1)</w:t>
            </w:r>
          </w:p>
        </w:tc>
        <w:tc>
          <w:tcPr>
            <w:tcW w:w="1053" w:type="pct"/>
            <w:tcBorders>
              <w:top w:val="single" w:sz="8" w:space="0" w:color="000000"/>
              <w:left w:val="nil"/>
              <w:bottom w:val="single" w:sz="8" w:space="0" w:color="000000"/>
              <w:right w:val="single" w:sz="8" w:space="0" w:color="000000"/>
            </w:tcBorders>
            <w:shd w:val="clear" w:color="auto" w:fill="auto"/>
            <w:vAlign w:val="center"/>
          </w:tcPr>
          <w:p w14:paraId="066E579E" w14:textId="77777777" w:rsidR="0031121E" w:rsidRPr="00D654F7" w:rsidRDefault="00B9221C" w:rsidP="001779AD">
            <w:pPr>
              <w:spacing w:after="0" w:line="240" w:lineRule="auto"/>
              <w:jc w:val="center"/>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Perceived Usefulness (X2)</w:t>
            </w:r>
          </w:p>
        </w:tc>
        <w:tc>
          <w:tcPr>
            <w:tcW w:w="694" w:type="pct"/>
            <w:tcBorders>
              <w:top w:val="single" w:sz="8" w:space="0" w:color="000000"/>
              <w:left w:val="nil"/>
              <w:bottom w:val="single" w:sz="8" w:space="0" w:color="000000"/>
              <w:right w:val="single" w:sz="8" w:space="0" w:color="000000"/>
            </w:tcBorders>
            <w:shd w:val="clear" w:color="auto" w:fill="auto"/>
            <w:vAlign w:val="center"/>
          </w:tcPr>
          <w:p w14:paraId="5223F475" w14:textId="77777777" w:rsidR="0031121E" w:rsidRPr="00D654F7" w:rsidRDefault="00B9221C" w:rsidP="001779AD">
            <w:pPr>
              <w:spacing w:after="0" w:line="240" w:lineRule="auto"/>
              <w:jc w:val="center"/>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Employee Retention (Y)</w:t>
            </w:r>
          </w:p>
        </w:tc>
        <w:tc>
          <w:tcPr>
            <w:tcW w:w="518" w:type="pct"/>
            <w:tcBorders>
              <w:top w:val="single" w:sz="8" w:space="0" w:color="000000"/>
              <w:left w:val="nil"/>
              <w:bottom w:val="single" w:sz="8" w:space="0" w:color="000000"/>
              <w:right w:val="single" w:sz="8" w:space="0" w:color="000000"/>
            </w:tcBorders>
            <w:vAlign w:val="center"/>
          </w:tcPr>
          <w:p w14:paraId="4865FEDA" w14:textId="77777777" w:rsidR="0031121E" w:rsidRPr="00D654F7" w:rsidRDefault="00B9221C" w:rsidP="001779AD">
            <w:pPr>
              <w:spacing w:after="0" w:line="240" w:lineRule="auto"/>
              <w:jc w:val="center"/>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Meaning of Work (M)</w:t>
            </w:r>
          </w:p>
        </w:tc>
        <w:tc>
          <w:tcPr>
            <w:tcW w:w="538" w:type="pct"/>
            <w:tcBorders>
              <w:top w:val="single" w:sz="8" w:space="0" w:color="000000"/>
              <w:left w:val="nil"/>
              <w:bottom w:val="single" w:sz="8" w:space="0" w:color="000000"/>
              <w:right w:val="single" w:sz="8" w:space="0" w:color="000000"/>
            </w:tcBorders>
          </w:tcPr>
          <w:p w14:paraId="0BEEBC94" w14:textId="77777777" w:rsidR="0031121E" w:rsidRPr="00D654F7" w:rsidRDefault="00B9221C" w:rsidP="001779AD">
            <w:pPr>
              <w:spacing w:after="0" w:line="240" w:lineRule="auto"/>
              <w:jc w:val="center"/>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Rule of Thumb</w:t>
            </w:r>
          </w:p>
        </w:tc>
        <w:tc>
          <w:tcPr>
            <w:tcW w:w="769" w:type="pct"/>
            <w:tcBorders>
              <w:top w:val="single" w:sz="8" w:space="0" w:color="000000"/>
              <w:left w:val="nil"/>
              <w:bottom w:val="single" w:sz="8" w:space="0" w:color="000000"/>
              <w:right w:val="single" w:sz="8" w:space="0" w:color="000000"/>
            </w:tcBorders>
          </w:tcPr>
          <w:p w14:paraId="60C522E6" w14:textId="77777777" w:rsidR="0031121E" w:rsidRPr="00D654F7" w:rsidRDefault="00B9221C" w:rsidP="001779AD">
            <w:pPr>
              <w:spacing w:after="0" w:line="240" w:lineRule="auto"/>
              <w:jc w:val="center"/>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Information</w:t>
            </w:r>
          </w:p>
        </w:tc>
      </w:tr>
      <w:tr w:rsidR="0031121E" w:rsidRPr="00D654F7" w14:paraId="3DB585DD" w14:textId="77777777" w:rsidTr="00616E69">
        <w:trPr>
          <w:trHeight w:val="315"/>
          <w:jc w:val="center"/>
        </w:trPr>
        <w:tc>
          <w:tcPr>
            <w:tcW w:w="605" w:type="pct"/>
            <w:tcBorders>
              <w:top w:val="nil"/>
              <w:left w:val="single" w:sz="8" w:space="0" w:color="000000"/>
              <w:bottom w:val="single" w:sz="8" w:space="0" w:color="000000"/>
              <w:right w:val="single" w:sz="8" w:space="0" w:color="000000"/>
            </w:tcBorders>
            <w:shd w:val="clear" w:color="auto" w:fill="auto"/>
            <w:vAlign w:val="center"/>
          </w:tcPr>
          <w:p w14:paraId="6858C3A4"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X1.1</w:t>
            </w:r>
          </w:p>
          <w:p w14:paraId="305651D5"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X1.2</w:t>
            </w:r>
          </w:p>
          <w:p w14:paraId="7A8E1764"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X1.3</w:t>
            </w:r>
          </w:p>
          <w:p w14:paraId="38244E51"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X1.4</w:t>
            </w:r>
          </w:p>
        </w:tc>
        <w:tc>
          <w:tcPr>
            <w:tcW w:w="823" w:type="pct"/>
            <w:tcBorders>
              <w:top w:val="nil"/>
              <w:left w:val="nil"/>
              <w:bottom w:val="single" w:sz="8" w:space="0" w:color="000000"/>
              <w:right w:val="single" w:sz="8" w:space="0" w:color="000000"/>
            </w:tcBorders>
            <w:shd w:val="clear" w:color="auto" w:fill="auto"/>
            <w:vAlign w:val="center"/>
          </w:tcPr>
          <w:p w14:paraId="63DD3DFC"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0.753</w:t>
            </w:r>
          </w:p>
          <w:p w14:paraId="399FCE1B"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0.778</w:t>
            </w:r>
          </w:p>
          <w:p w14:paraId="42B2A851"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0.772</w:t>
            </w:r>
          </w:p>
          <w:p w14:paraId="5AF00257"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0.817</w:t>
            </w:r>
          </w:p>
        </w:tc>
        <w:tc>
          <w:tcPr>
            <w:tcW w:w="1053" w:type="pct"/>
            <w:tcBorders>
              <w:top w:val="nil"/>
              <w:left w:val="nil"/>
              <w:bottom w:val="single" w:sz="8" w:space="0" w:color="000000"/>
              <w:right w:val="single" w:sz="8" w:space="0" w:color="000000"/>
            </w:tcBorders>
            <w:shd w:val="clear" w:color="auto" w:fill="auto"/>
            <w:vAlign w:val="center"/>
          </w:tcPr>
          <w:p w14:paraId="4496B86B"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c>
          <w:tcPr>
            <w:tcW w:w="694" w:type="pct"/>
            <w:tcBorders>
              <w:top w:val="nil"/>
              <w:left w:val="nil"/>
              <w:bottom w:val="single" w:sz="8" w:space="0" w:color="000000"/>
              <w:right w:val="single" w:sz="8" w:space="0" w:color="000000"/>
            </w:tcBorders>
            <w:shd w:val="clear" w:color="auto" w:fill="auto"/>
            <w:vAlign w:val="center"/>
          </w:tcPr>
          <w:p w14:paraId="652DC187"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c>
          <w:tcPr>
            <w:tcW w:w="518" w:type="pct"/>
            <w:tcBorders>
              <w:top w:val="nil"/>
              <w:left w:val="nil"/>
              <w:bottom w:val="single" w:sz="8" w:space="0" w:color="000000"/>
              <w:right w:val="single" w:sz="8" w:space="0" w:color="000000"/>
            </w:tcBorders>
          </w:tcPr>
          <w:p w14:paraId="27663E06"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c>
          <w:tcPr>
            <w:tcW w:w="538" w:type="pct"/>
            <w:tcBorders>
              <w:top w:val="nil"/>
              <w:left w:val="nil"/>
              <w:bottom w:val="single" w:sz="8" w:space="0" w:color="000000"/>
              <w:right w:val="single" w:sz="8" w:space="0" w:color="000000"/>
            </w:tcBorders>
          </w:tcPr>
          <w:p w14:paraId="186627D3" w14:textId="77777777" w:rsidR="0031121E" w:rsidRPr="00D654F7" w:rsidRDefault="00B6131C" w:rsidP="001779AD">
            <w:pPr>
              <w:spacing w:after="0" w:line="240" w:lineRule="auto"/>
              <w:jc w:val="center"/>
              <w:rPr>
                <w:rFonts w:ascii="Book Antiqua" w:eastAsia="Times New Roman" w:hAnsi="Book Antiqua" w:cs="Times New Roman"/>
                <w:color w:val="000000"/>
                <w:sz w:val="24"/>
                <w:szCs w:val="24"/>
              </w:rPr>
            </w:pPr>
            <w:sdt>
              <w:sdtPr>
                <w:rPr>
                  <w:rFonts w:ascii="Book Antiqua" w:hAnsi="Book Antiqua" w:cs="Times New Roman"/>
                  <w:sz w:val="24"/>
                  <w:szCs w:val="24"/>
                </w:rPr>
                <w:tag w:val="goog_rdk_7"/>
                <w:id w:val="2126357783"/>
              </w:sdtPr>
              <w:sdtEndPr/>
              <w:sdtContent>
                <w:r w:rsidR="00B9221C" w:rsidRPr="00D654F7">
                  <w:rPr>
                    <w:rFonts w:ascii="Book Antiqua" w:eastAsia="Gungsuh" w:hAnsi="Book Antiqua" w:cs="Times New Roman"/>
                    <w:color w:val="000000"/>
                    <w:sz w:val="24"/>
                    <w:szCs w:val="24"/>
                  </w:rPr>
                  <w:t>≥ 0.7</w:t>
                </w:r>
              </w:sdtContent>
            </w:sdt>
          </w:p>
        </w:tc>
        <w:tc>
          <w:tcPr>
            <w:tcW w:w="769" w:type="pct"/>
            <w:tcBorders>
              <w:top w:val="nil"/>
              <w:left w:val="nil"/>
              <w:bottom w:val="single" w:sz="8" w:space="0" w:color="000000"/>
              <w:right w:val="single" w:sz="8" w:space="0" w:color="000000"/>
            </w:tcBorders>
          </w:tcPr>
          <w:p w14:paraId="2212939C" w14:textId="77777777" w:rsidR="0031121E" w:rsidRPr="00D654F7" w:rsidRDefault="00B9221C" w:rsidP="001779AD">
            <w:pPr>
              <w:spacing w:after="0" w:line="240" w:lineRule="auto"/>
              <w:jc w:val="center"/>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Valid</w:t>
            </w:r>
          </w:p>
        </w:tc>
      </w:tr>
      <w:tr w:rsidR="0031121E" w:rsidRPr="00D654F7" w14:paraId="28B450C3" w14:textId="77777777" w:rsidTr="00616E69">
        <w:trPr>
          <w:trHeight w:val="315"/>
          <w:jc w:val="center"/>
        </w:trPr>
        <w:tc>
          <w:tcPr>
            <w:tcW w:w="605" w:type="pct"/>
            <w:tcBorders>
              <w:top w:val="nil"/>
              <w:left w:val="single" w:sz="8" w:space="0" w:color="000000"/>
              <w:bottom w:val="single" w:sz="8" w:space="0" w:color="000000"/>
              <w:right w:val="single" w:sz="8" w:space="0" w:color="000000"/>
            </w:tcBorders>
            <w:shd w:val="clear" w:color="auto" w:fill="auto"/>
            <w:vAlign w:val="center"/>
          </w:tcPr>
          <w:p w14:paraId="77DD3FFB"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X2.1</w:t>
            </w:r>
          </w:p>
          <w:p w14:paraId="7DEC7212"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X2.2</w:t>
            </w:r>
          </w:p>
          <w:p w14:paraId="72E12056"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X2.3</w:t>
            </w:r>
          </w:p>
          <w:p w14:paraId="41A27090"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X2.4</w:t>
            </w:r>
          </w:p>
        </w:tc>
        <w:tc>
          <w:tcPr>
            <w:tcW w:w="823" w:type="pct"/>
            <w:tcBorders>
              <w:top w:val="nil"/>
              <w:left w:val="nil"/>
              <w:bottom w:val="single" w:sz="8" w:space="0" w:color="000000"/>
              <w:right w:val="single" w:sz="8" w:space="0" w:color="000000"/>
            </w:tcBorders>
            <w:shd w:val="clear" w:color="auto" w:fill="auto"/>
            <w:vAlign w:val="center"/>
          </w:tcPr>
          <w:p w14:paraId="0FC51EC1"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c>
          <w:tcPr>
            <w:tcW w:w="1053" w:type="pct"/>
            <w:tcBorders>
              <w:top w:val="nil"/>
              <w:left w:val="nil"/>
              <w:bottom w:val="single" w:sz="8" w:space="0" w:color="000000"/>
              <w:right w:val="single" w:sz="8" w:space="0" w:color="000000"/>
            </w:tcBorders>
            <w:shd w:val="clear" w:color="auto" w:fill="auto"/>
            <w:vAlign w:val="center"/>
          </w:tcPr>
          <w:p w14:paraId="18398ECF"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0.834</w:t>
            </w:r>
          </w:p>
          <w:p w14:paraId="7328539E"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0.813</w:t>
            </w:r>
          </w:p>
          <w:p w14:paraId="6D1CCBFB"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0.792</w:t>
            </w:r>
          </w:p>
          <w:p w14:paraId="04CA587E"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0.804</w:t>
            </w:r>
          </w:p>
        </w:tc>
        <w:tc>
          <w:tcPr>
            <w:tcW w:w="694" w:type="pct"/>
            <w:tcBorders>
              <w:top w:val="nil"/>
              <w:left w:val="nil"/>
              <w:bottom w:val="single" w:sz="8" w:space="0" w:color="000000"/>
              <w:right w:val="single" w:sz="8" w:space="0" w:color="000000"/>
            </w:tcBorders>
            <w:shd w:val="clear" w:color="auto" w:fill="auto"/>
            <w:vAlign w:val="center"/>
          </w:tcPr>
          <w:p w14:paraId="61B19A6F"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c>
          <w:tcPr>
            <w:tcW w:w="518" w:type="pct"/>
            <w:tcBorders>
              <w:top w:val="nil"/>
              <w:left w:val="nil"/>
              <w:bottom w:val="single" w:sz="8" w:space="0" w:color="000000"/>
              <w:right w:val="single" w:sz="8" w:space="0" w:color="000000"/>
            </w:tcBorders>
          </w:tcPr>
          <w:p w14:paraId="757E8B28"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c>
          <w:tcPr>
            <w:tcW w:w="538" w:type="pct"/>
            <w:tcBorders>
              <w:top w:val="nil"/>
              <w:left w:val="nil"/>
              <w:bottom w:val="single" w:sz="8" w:space="0" w:color="000000"/>
              <w:right w:val="single" w:sz="8" w:space="0" w:color="000000"/>
            </w:tcBorders>
          </w:tcPr>
          <w:p w14:paraId="12AD80E2" w14:textId="77777777" w:rsidR="0031121E" w:rsidRPr="00D654F7" w:rsidRDefault="00B6131C" w:rsidP="001779AD">
            <w:pPr>
              <w:spacing w:after="0" w:line="240" w:lineRule="auto"/>
              <w:jc w:val="center"/>
              <w:rPr>
                <w:rFonts w:ascii="Book Antiqua" w:eastAsia="Times New Roman" w:hAnsi="Book Antiqua" w:cs="Times New Roman"/>
                <w:color w:val="000000"/>
                <w:sz w:val="24"/>
                <w:szCs w:val="24"/>
              </w:rPr>
            </w:pPr>
            <w:sdt>
              <w:sdtPr>
                <w:rPr>
                  <w:rFonts w:ascii="Book Antiqua" w:hAnsi="Book Antiqua" w:cs="Times New Roman"/>
                  <w:sz w:val="24"/>
                  <w:szCs w:val="24"/>
                </w:rPr>
                <w:tag w:val="goog_rdk_8"/>
                <w:id w:val="748875629"/>
              </w:sdtPr>
              <w:sdtEndPr/>
              <w:sdtContent>
                <w:r w:rsidR="00B9221C" w:rsidRPr="00D654F7">
                  <w:rPr>
                    <w:rFonts w:ascii="Book Antiqua" w:eastAsia="Gungsuh" w:hAnsi="Book Antiqua" w:cs="Times New Roman"/>
                    <w:color w:val="000000"/>
                    <w:sz w:val="24"/>
                    <w:szCs w:val="24"/>
                  </w:rPr>
                  <w:t>≥ 0.7</w:t>
                </w:r>
              </w:sdtContent>
            </w:sdt>
          </w:p>
        </w:tc>
        <w:tc>
          <w:tcPr>
            <w:tcW w:w="769" w:type="pct"/>
            <w:tcBorders>
              <w:top w:val="nil"/>
              <w:left w:val="nil"/>
              <w:bottom w:val="single" w:sz="8" w:space="0" w:color="000000"/>
              <w:right w:val="single" w:sz="8" w:space="0" w:color="000000"/>
            </w:tcBorders>
          </w:tcPr>
          <w:p w14:paraId="2536219D" w14:textId="77777777" w:rsidR="0031121E" w:rsidRPr="00D654F7" w:rsidRDefault="00B9221C" w:rsidP="001779AD">
            <w:pPr>
              <w:spacing w:after="0" w:line="240" w:lineRule="auto"/>
              <w:jc w:val="center"/>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Valid</w:t>
            </w:r>
          </w:p>
        </w:tc>
      </w:tr>
      <w:tr w:rsidR="0031121E" w:rsidRPr="00D654F7" w14:paraId="0E2C8B4A" w14:textId="77777777" w:rsidTr="00616E69">
        <w:trPr>
          <w:trHeight w:val="315"/>
          <w:jc w:val="center"/>
        </w:trPr>
        <w:tc>
          <w:tcPr>
            <w:tcW w:w="605" w:type="pct"/>
            <w:tcBorders>
              <w:top w:val="nil"/>
              <w:left w:val="single" w:sz="8" w:space="0" w:color="000000"/>
              <w:bottom w:val="single" w:sz="8" w:space="0" w:color="000000"/>
              <w:right w:val="single" w:sz="8" w:space="0" w:color="000000"/>
            </w:tcBorders>
            <w:shd w:val="clear" w:color="auto" w:fill="auto"/>
            <w:vAlign w:val="center"/>
          </w:tcPr>
          <w:p w14:paraId="288B22AE"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Y.1</w:t>
            </w:r>
          </w:p>
          <w:p w14:paraId="7CBE3EE1"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Y.2</w:t>
            </w:r>
          </w:p>
          <w:p w14:paraId="297F3D7E"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Y.3</w:t>
            </w:r>
          </w:p>
          <w:p w14:paraId="1166D914"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Y.4</w:t>
            </w:r>
          </w:p>
        </w:tc>
        <w:tc>
          <w:tcPr>
            <w:tcW w:w="823" w:type="pct"/>
            <w:tcBorders>
              <w:top w:val="nil"/>
              <w:left w:val="nil"/>
              <w:bottom w:val="single" w:sz="8" w:space="0" w:color="000000"/>
              <w:right w:val="single" w:sz="8" w:space="0" w:color="000000"/>
            </w:tcBorders>
            <w:shd w:val="clear" w:color="auto" w:fill="auto"/>
            <w:vAlign w:val="center"/>
          </w:tcPr>
          <w:p w14:paraId="31A280A0"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c>
          <w:tcPr>
            <w:tcW w:w="1053" w:type="pct"/>
            <w:tcBorders>
              <w:top w:val="nil"/>
              <w:left w:val="nil"/>
              <w:bottom w:val="single" w:sz="8" w:space="0" w:color="000000"/>
              <w:right w:val="single" w:sz="8" w:space="0" w:color="000000"/>
            </w:tcBorders>
            <w:shd w:val="clear" w:color="auto" w:fill="auto"/>
            <w:vAlign w:val="center"/>
          </w:tcPr>
          <w:p w14:paraId="422D41FB"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c>
          <w:tcPr>
            <w:tcW w:w="694" w:type="pct"/>
            <w:tcBorders>
              <w:top w:val="nil"/>
              <w:left w:val="nil"/>
              <w:bottom w:val="single" w:sz="8" w:space="0" w:color="000000"/>
              <w:right w:val="single" w:sz="8" w:space="0" w:color="000000"/>
            </w:tcBorders>
            <w:shd w:val="clear" w:color="auto" w:fill="auto"/>
            <w:vAlign w:val="center"/>
          </w:tcPr>
          <w:p w14:paraId="5D491B70"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0.843</w:t>
            </w:r>
          </w:p>
          <w:p w14:paraId="58AE8F0C"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0.791</w:t>
            </w:r>
          </w:p>
          <w:p w14:paraId="3BB2A6C3"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0.846</w:t>
            </w:r>
          </w:p>
          <w:p w14:paraId="4FB453CA"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0.773</w:t>
            </w:r>
          </w:p>
        </w:tc>
        <w:tc>
          <w:tcPr>
            <w:tcW w:w="518" w:type="pct"/>
            <w:tcBorders>
              <w:top w:val="nil"/>
              <w:left w:val="nil"/>
              <w:bottom w:val="single" w:sz="8" w:space="0" w:color="000000"/>
              <w:right w:val="single" w:sz="8" w:space="0" w:color="000000"/>
            </w:tcBorders>
          </w:tcPr>
          <w:p w14:paraId="53FF5B20" w14:textId="77777777" w:rsidR="0031121E" w:rsidRPr="00D654F7" w:rsidRDefault="0031121E" w:rsidP="001779AD">
            <w:pPr>
              <w:spacing w:after="0" w:line="240" w:lineRule="auto"/>
              <w:jc w:val="right"/>
              <w:rPr>
                <w:rFonts w:ascii="Book Antiqua" w:eastAsia="Times New Roman" w:hAnsi="Book Antiqua" w:cs="Times New Roman"/>
                <w:color w:val="006400"/>
                <w:sz w:val="24"/>
                <w:szCs w:val="24"/>
              </w:rPr>
            </w:pPr>
          </w:p>
        </w:tc>
        <w:tc>
          <w:tcPr>
            <w:tcW w:w="538" w:type="pct"/>
            <w:tcBorders>
              <w:top w:val="nil"/>
              <w:left w:val="nil"/>
              <w:bottom w:val="single" w:sz="8" w:space="0" w:color="000000"/>
              <w:right w:val="single" w:sz="8" w:space="0" w:color="000000"/>
            </w:tcBorders>
          </w:tcPr>
          <w:p w14:paraId="0657C64D" w14:textId="77777777" w:rsidR="0031121E" w:rsidRPr="00D654F7" w:rsidRDefault="00B6131C" w:rsidP="001779AD">
            <w:pPr>
              <w:spacing w:after="0" w:line="240" w:lineRule="auto"/>
              <w:jc w:val="center"/>
              <w:rPr>
                <w:rFonts w:ascii="Book Antiqua" w:eastAsia="Times New Roman" w:hAnsi="Book Antiqua" w:cs="Times New Roman"/>
                <w:color w:val="006400"/>
                <w:sz w:val="24"/>
                <w:szCs w:val="24"/>
              </w:rPr>
            </w:pPr>
            <w:sdt>
              <w:sdtPr>
                <w:rPr>
                  <w:rFonts w:ascii="Book Antiqua" w:hAnsi="Book Antiqua" w:cs="Times New Roman"/>
                  <w:sz w:val="24"/>
                  <w:szCs w:val="24"/>
                </w:rPr>
                <w:tag w:val="goog_rdk_9"/>
                <w:id w:val="1818039100"/>
              </w:sdtPr>
              <w:sdtEndPr/>
              <w:sdtContent>
                <w:r w:rsidR="00B9221C" w:rsidRPr="00D654F7">
                  <w:rPr>
                    <w:rFonts w:ascii="Book Antiqua" w:eastAsia="Gungsuh" w:hAnsi="Book Antiqua" w:cs="Times New Roman"/>
                    <w:color w:val="000000"/>
                    <w:sz w:val="24"/>
                    <w:szCs w:val="24"/>
                  </w:rPr>
                  <w:t>≥ 0.7</w:t>
                </w:r>
              </w:sdtContent>
            </w:sdt>
          </w:p>
        </w:tc>
        <w:tc>
          <w:tcPr>
            <w:tcW w:w="769" w:type="pct"/>
            <w:tcBorders>
              <w:top w:val="nil"/>
              <w:left w:val="nil"/>
              <w:bottom w:val="single" w:sz="8" w:space="0" w:color="000000"/>
              <w:right w:val="single" w:sz="8" w:space="0" w:color="000000"/>
            </w:tcBorders>
          </w:tcPr>
          <w:p w14:paraId="705F2C1F" w14:textId="77777777" w:rsidR="0031121E" w:rsidRPr="00D654F7" w:rsidRDefault="00B9221C" w:rsidP="001779AD">
            <w:pPr>
              <w:spacing w:after="0" w:line="240" w:lineRule="auto"/>
              <w:jc w:val="center"/>
              <w:rPr>
                <w:rFonts w:ascii="Book Antiqua" w:eastAsia="Times New Roman" w:hAnsi="Book Antiqua" w:cs="Times New Roman"/>
                <w:color w:val="006400"/>
                <w:sz w:val="24"/>
                <w:szCs w:val="24"/>
              </w:rPr>
            </w:pPr>
            <w:r w:rsidRPr="00D654F7">
              <w:rPr>
                <w:rFonts w:ascii="Book Antiqua" w:eastAsia="Times New Roman" w:hAnsi="Book Antiqua" w:cs="Times New Roman"/>
                <w:color w:val="000000"/>
                <w:sz w:val="24"/>
                <w:szCs w:val="24"/>
              </w:rPr>
              <w:t>Valid</w:t>
            </w:r>
          </w:p>
        </w:tc>
      </w:tr>
      <w:tr w:rsidR="0031121E" w:rsidRPr="00D654F7" w14:paraId="2B5DB108" w14:textId="77777777" w:rsidTr="00616E69">
        <w:trPr>
          <w:trHeight w:val="315"/>
          <w:jc w:val="center"/>
        </w:trPr>
        <w:tc>
          <w:tcPr>
            <w:tcW w:w="605" w:type="pct"/>
            <w:tcBorders>
              <w:top w:val="nil"/>
              <w:left w:val="single" w:sz="8" w:space="0" w:color="000000"/>
              <w:bottom w:val="nil"/>
              <w:right w:val="single" w:sz="8" w:space="0" w:color="000000"/>
            </w:tcBorders>
            <w:shd w:val="clear" w:color="auto" w:fill="auto"/>
            <w:vAlign w:val="center"/>
          </w:tcPr>
          <w:p w14:paraId="5DE84A42"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M.1</w:t>
            </w:r>
          </w:p>
        </w:tc>
        <w:tc>
          <w:tcPr>
            <w:tcW w:w="823" w:type="pct"/>
            <w:tcBorders>
              <w:top w:val="nil"/>
              <w:left w:val="nil"/>
              <w:bottom w:val="nil"/>
              <w:right w:val="single" w:sz="8" w:space="0" w:color="000000"/>
            </w:tcBorders>
            <w:shd w:val="clear" w:color="auto" w:fill="auto"/>
            <w:vAlign w:val="center"/>
          </w:tcPr>
          <w:p w14:paraId="33759E8B"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c>
          <w:tcPr>
            <w:tcW w:w="1053" w:type="pct"/>
            <w:tcBorders>
              <w:top w:val="nil"/>
              <w:left w:val="nil"/>
              <w:bottom w:val="nil"/>
              <w:right w:val="single" w:sz="8" w:space="0" w:color="000000"/>
            </w:tcBorders>
            <w:shd w:val="clear" w:color="auto" w:fill="auto"/>
            <w:vAlign w:val="center"/>
          </w:tcPr>
          <w:p w14:paraId="425008CC"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c>
          <w:tcPr>
            <w:tcW w:w="694" w:type="pct"/>
            <w:tcBorders>
              <w:top w:val="nil"/>
              <w:left w:val="nil"/>
              <w:bottom w:val="nil"/>
              <w:right w:val="single" w:sz="8" w:space="0" w:color="000000"/>
            </w:tcBorders>
            <w:shd w:val="clear" w:color="auto" w:fill="auto"/>
            <w:vAlign w:val="center"/>
          </w:tcPr>
          <w:p w14:paraId="136E4CD5" w14:textId="77777777" w:rsidR="0031121E" w:rsidRPr="00D654F7" w:rsidRDefault="0031121E" w:rsidP="001779AD">
            <w:pPr>
              <w:spacing w:after="0" w:line="240" w:lineRule="auto"/>
              <w:jc w:val="right"/>
              <w:rPr>
                <w:rFonts w:ascii="Book Antiqua" w:eastAsia="Times New Roman" w:hAnsi="Book Antiqua" w:cs="Times New Roman"/>
                <w:color w:val="006400"/>
                <w:sz w:val="24"/>
                <w:szCs w:val="24"/>
              </w:rPr>
            </w:pPr>
          </w:p>
        </w:tc>
        <w:tc>
          <w:tcPr>
            <w:tcW w:w="518" w:type="pct"/>
            <w:tcBorders>
              <w:top w:val="nil"/>
              <w:left w:val="nil"/>
              <w:bottom w:val="nil"/>
              <w:right w:val="single" w:sz="8" w:space="0" w:color="000000"/>
            </w:tcBorders>
            <w:vAlign w:val="center"/>
          </w:tcPr>
          <w:p w14:paraId="09864F3D"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0.811</w:t>
            </w:r>
          </w:p>
        </w:tc>
        <w:tc>
          <w:tcPr>
            <w:tcW w:w="538" w:type="pct"/>
            <w:tcBorders>
              <w:top w:val="nil"/>
              <w:left w:val="nil"/>
              <w:bottom w:val="nil"/>
              <w:right w:val="single" w:sz="8" w:space="0" w:color="000000"/>
            </w:tcBorders>
          </w:tcPr>
          <w:p w14:paraId="009A920F" w14:textId="77777777" w:rsidR="0031121E" w:rsidRPr="00D654F7" w:rsidRDefault="00B6131C" w:rsidP="001779AD">
            <w:pPr>
              <w:spacing w:after="0" w:line="240" w:lineRule="auto"/>
              <w:jc w:val="center"/>
              <w:rPr>
                <w:rFonts w:ascii="Book Antiqua" w:eastAsia="Times New Roman" w:hAnsi="Book Antiqua" w:cs="Times New Roman"/>
                <w:color w:val="006400"/>
                <w:sz w:val="24"/>
                <w:szCs w:val="24"/>
              </w:rPr>
            </w:pPr>
            <w:sdt>
              <w:sdtPr>
                <w:rPr>
                  <w:rFonts w:ascii="Book Antiqua" w:hAnsi="Book Antiqua" w:cs="Times New Roman"/>
                  <w:sz w:val="24"/>
                  <w:szCs w:val="24"/>
                </w:rPr>
                <w:tag w:val="goog_rdk_10"/>
                <w:id w:val="823039892"/>
              </w:sdtPr>
              <w:sdtEndPr/>
              <w:sdtContent>
                <w:r w:rsidR="00B9221C" w:rsidRPr="00D654F7">
                  <w:rPr>
                    <w:rFonts w:ascii="Book Antiqua" w:eastAsia="Gungsuh" w:hAnsi="Book Antiqua" w:cs="Times New Roman"/>
                    <w:color w:val="000000"/>
                    <w:sz w:val="24"/>
                    <w:szCs w:val="24"/>
                  </w:rPr>
                  <w:t>≥ 0.7</w:t>
                </w:r>
              </w:sdtContent>
            </w:sdt>
          </w:p>
        </w:tc>
        <w:tc>
          <w:tcPr>
            <w:tcW w:w="769" w:type="pct"/>
            <w:tcBorders>
              <w:top w:val="nil"/>
              <w:left w:val="nil"/>
              <w:bottom w:val="nil"/>
              <w:right w:val="single" w:sz="8" w:space="0" w:color="000000"/>
            </w:tcBorders>
          </w:tcPr>
          <w:p w14:paraId="44E1F415" w14:textId="77777777" w:rsidR="0031121E" w:rsidRPr="00D654F7" w:rsidRDefault="00B9221C" w:rsidP="001779AD">
            <w:pPr>
              <w:spacing w:after="0" w:line="240" w:lineRule="auto"/>
              <w:jc w:val="center"/>
              <w:rPr>
                <w:rFonts w:ascii="Book Antiqua" w:eastAsia="Times New Roman" w:hAnsi="Book Antiqua" w:cs="Times New Roman"/>
                <w:color w:val="006400"/>
                <w:sz w:val="24"/>
                <w:szCs w:val="24"/>
              </w:rPr>
            </w:pPr>
            <w:r w:rsidRPr="00D654F7">
              <w:rPr>
                <w:rFonts w:ascii="Book Antiqua" w:eastAsia="Times New Roman" w:hAnsi="Book Antiqua" w:cs="Times New Roman"/>
                <w:color w:val="000000"/>
                <w:sz w:val="24"/>
                <w:szCs w:val="24"/>
              </w:rPr>
              <w:t>Valid</w:t>
            </w:r>
          </w:p>
        </w:tc>
      </w:tr>
      <w:tr w:rsidR="0031121E" w:rsidRPr="00D654F7" w14:paraId="2BED0134" w14:textId="77777777" w:rsidTr="00616E69">
        <w:trPr>
          <w:trHeight w:val="315"/>
          <w:jc w:val="center"/>
        </w:trPr>
        <w:tc>
          <w:tcPr>
            <w:tcW w:w="605" w:type="pct"/>
            <w:tcBorders>
              <w:top w:val="nil"/>
              <w:left w:val="single" w:sz="8" w:space="0" w:color="000000"/>
              <w:bottom w:val="nil"/>
              <w:right w:val="single" w:sz="8" w:space="0" w:color="000000"/>
            </w:tcBorders>
            <w:shd w:val="clear" w:color="auto" w:fill="auto"/>
            <w:vAlign w:val="center"/>
          </w:tcPr>
          <w:p w14:paraId="445D5852"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M.2</w:t>
            </w:r>
          </w:p>
        </w:tc>
        <w:tc>
          <w:tcPr>
            <w:tcW w:w="823" w:type="pct"/>
            <w:tcBorders>
              <w:top w:val="nil"/>
              <w:left w:val="nil"/>
              <w:bottom w:val="nil"/>
              <w:right w:val="single" w:sz="8" w:space="0" w:color="000000"/>
            </w:tcBorders>
            <w:shd w:val="clear" w:color="auto" w:fill="auto"/>
            <w:vAlign w:val="center"/>
          </w:tcPr>
          <w:p w14:paraId="4C122884"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c>
          <w:tcPr>
            <w:tcW w:w="1053" w:type="pct"/>
            <w:tcBorders>
              <w:top w:val="nil"/>
              <w:left w:val="nil"/>
              <w:bottom w:val="nil"/>
              <w:right w:val="single" w:sz="8" w:space="0" w:color="000000"/>
            </w:tcBorders>
            <w:shd w:val="clear" w:color="auto" w:fill="auto"/>
            <w:vAlign w:val="center"/>
          </w:tcPr>
          <w:p w14:paraId="6FA92AEA"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c>
          <w:tcPr>
            <w:tcW w:w="694" w:type="pct"/>
            <w:tcBorders>
              <w:top w:val="nil"/>
              <w:left w:val="nil"/>
              <w:bottom w:val="nil"/>
              <w:right w:val="single" w:sz="8" w:space="0" w:color="000000"/>
            </w:tcBorders>
            <w:shd w:val="clear" w:color="auto" w:fill="auto"/>
            <w:vAlign w:val="center"/>
          </w:tcPr>
          <w:p w14:paraId="47E0407A" w14:textId="77777777" w:rsidR="0031121E" w:rsidRPr="00D654F7" w:rsidRDefault="0031121E" w:rsidP="001779AD">
            <w:pPr>
              <w:spacing w:after="0" w:line="240" w:lineRule="auto"/>
              <w:jc w:val="right"/>
              <w:rPr>
                <w:rFonts w:ascii="Book Antiqua" w:eastAsia="Times New Roman" w:hAnsi="Book Antiqua" w:cs="Times New Roman"/>
                <w:color w:val="006400"/>
                <w:sz w:val="24"/>
                <w:szCs w:val="24"/>
              </w:rPr>
            </w:pPr>
          </w:p>
        </w:tc>
        <w:tc>
          <w:tcPr>
            <w:tcW w:w="518" w:type="pct"/>
            <w:tcBorders>
              <w:top w:val="nil"/>
              <w:left w:val="nil"/>
              <w:bottom w:val="nil"/>
              <w:right w:val="single" w:sz="8" w:space="0" w:color="000000"/>
            </w:tcBorders>
            <w:vAlign w:val="center"/>
          </w:tcPr>
          <w:p w14:paraId="011670B3"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0.821</w:t>
            </w:r>
          </w:p>
        </w:tc>
        <w:tc>
          <w:tcPr>
            <w:tcW w:w="538" w:type="pct"/>
            <w:tcBorders>
              <w:top w:val="nil"/>
              <w:left w:val="nil"/>
              <w:bottom w:val="nil"/>
              <w:right w:val="single" w:sz="8" w:space="0" w:color="000000"/>
            </w:tcBorders>
          </w:tcPr>
          <w:p w14:paraId="54EE377A" w14:textId="77777777" w:rsidR="0031121E" w:rsidRPr="00D654F7" w:rsidRDefault="0031121E" w:rsidP="001779AD">
            <w:pPr>
              <w:spacing w:after="0" w:line="240" w:lineRule="auto"/>
              <w:jc w:val="center"/>
              <w:rPr>
                <w:rFonts w:ascii="Book Antiqua" w:eastAsia="Times New Roman" w:hAnsi="Book Antiqua" w:cs="Times New Roman"/>
                <w:color w:val="006400"/>
                <w:sz w:val="24"/>
                <w:szCs w:val="24"/>
              </w:rPr>
            </w:pPr>
          </w:p>
        </w:tc>
        <w:tc>
          <w:tcPr>
            <w:tcW w:w="769" w:type="pct"/>
            <w:tcBorders>
              <w:top w:val="nil"/>
              <w:left w:val="nil"/>
              <w:bottom w:val="nil"/>
              <w:right w:val="single" w:sz="8" w:space="0" w:color="000000"/>
            </w:tcBorders>
          </w:tcPr>
          <w:p w14:paraId="51D322DB" w14:textId="77777777" w:rsidR="0031121E" w:rsidRPr="00D654F7" w:rsidRDefault="0031121E" w:rsidP="001779AD">
            <w:pPr>
              <w:spacing w:after="0" w:line="240" w:lineRule="auto"/>
              <w:jc w:val="right"/>
              <w:rPr>
                <w:rFonts w:ascii="Book Antiqua" w:eastAsia="Times New Roman" w:hAnsi="Book Antiqua" w:cs="Times New Roman"/>
                <w:color w:val="006400"/>
                <w:sz w:val="24"/>
                <w:szCs w:val="24"/>
              </w:rPr>
            </w:pPr>
          </w:p>
        </w:tc>
      </w:tr>
      <w:tr w:rsidR="0031121E" w:rsidRPr="00D654F7" w14:paraId="684EDB7A" w14:textId="77777777" w:rsidTr="00616E69">
        <w:trPr>
          <w:trHeight w:val="315"/>
          <w:jc w:val="center"/>
        </w:trPr>
        <w:tc>
          <w:tcPr>
            <w:tcW w:w="605" w:type="pct"/>
            <w:tcBorders>
              <w:top w:val="nil"/>
              <w:left w:val="single" w:sz="8" w:space="0" w:color="000000"/>
              <w:bottom w:val="single" w:sz="8" w:space="0" w:color="000000"/>
              <w:right w:val="single" w:sz="8" w:space="0" w:color="000000"/>
            </w:tcBorders>
            <w:shd w:val="clear" w:color="auto" w:fill="auto"/>
            <w:vAlign w:val="center"/>
          </w:tcPr>
          <w:p w14:paraId="3E53F2F8"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M.3</w:t>
            </w:r>
          </w:p>
          <w:p w14:paraId="359CEE15"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M.4</w:t>
            </w:r>
          </w:p>
        </w:tc>
        <w:tc>
          <w:tcPr>
            <w:tcW w:w="823" w:type="pct"/>
            <w:tcBorders>
              <w:top w:val="nil"/>
              <w:left w:val="nil"/>
              <w:bottom w:val="single" w:sz="8" w:space="0" w:color="000000"/>
              <w:right w:val="single" w:sz="8" w:space="0" w:color="000000"/>
            </w:tcBorders>
            <w:shd w:val="clear" w:color="auto" w:fill="auto"/>
            <w:vAlign w:val="center"/>
          </w:tcPr>
          <w:p w14:paraId="60667B3C"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c>
          <w:tcPr>
            <w:tcW w:w="1053" w:type="pct"/>
            <w:tcBorders>
              <w:top w:val="nil"/>
              <w:left w:val="nil"/>
              <w:bottom w:val="single" w:sz="8" w:space="0" w:color="000000"/>
              <w:right w:val="single" w:sz="8" w:space="0" w:color="000000"/>
            </w:tcBorders>
            <w:shd w:val="clear" w:color="auto" w:fill="auto"/>
            <w:vAlign w:val="center"/>
          </w:tcPr>
          <w:p w14:paraId="5692A44E"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c>
          <w:tcPr>
            <w:tcW w:w="694" w:type="pct"/>
            <w:tcBorders>
              <w:top w:val="nil"/>
              <w:left w:val="nil"/>
              <w:bottom w:val="single" w:sz="8" w:space="0" w:color="000000"/>
              <w:right w:val="single" w:sz="8" w:space="0" w:color="000000"/>
            </w:tcBorders>
            <w:shd w:val="clear" w:color="auto" w:fill="auto"/>
            <w:vAlign w:val="center"/>
          </w:tcPr>
          <w:p w14:paraId="52B639AC" w14:textId="77777777" w:rsidR="0031121E" w:rsidRPr="00D654F7" w:rsidRDefault="0031121E" w:rsidP="001779AD">
            <w:pPr>
              <w:spacing w:after="0" w:line="240" w:lineRule="auto"/>
              <w:jc w:val="right"/>
              <w:rPr>
                <w:rFonts w:ascii="Book Antiqua" w:eastAsia="Times New Roman" w:hAnsi="Book Antiqua" w:cs="Times New Roman"/>
                <w:color w:val="006400"/>
                <w:sz w:val="24"/>
                <w:szCs w:val="24"/>
              </w:rPr>
            </w:pPr>
          </w:p>
        </w:tc>
        <w:tc>
          <w:tcPr>
            <w:tcW w:w="518" w:type="pct"/>
            <w:tcBorders>
              <w:top w:val="nil"/>
              <w:left w:val="nil"/>
              <w:bottom w:val="single" w:sz="8" w:space="0" w:color="000000"/>
              <w:right w:val="single" w:sz="8" w:space="0" w:color="000000"/>
            </w:tcBorders>
            <w:vAlign w:val="center"/>
          </w:tcPr>
          <w:p w14:paraId="33CF668F"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0.735</w:t>
            </w:r>
          </w:p>
          <w:p w14:paraId="369E4515"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0.808</w:t>
            </w:r>
          </w:p>
        </w:tc>
        <w:tc>
          <w:tcPr>
            <w:tcW w:w="538" w:type="pct"/>
            <w:tcBorders>
              <w:top w:val="nil"/>
              <w:left w:val="nil"/>
              <w:bottom w:val="single" w:sz="8" w:space="0" w:color="000000"/>
              <w:right w:val="single" w:sz="8" w:space="0" w:color="000000"/>
            </w:tcBorders>
          </w:tcPr>
          <w:p w14:paraId="70CCF4E4" w14:textId="77777777" w:rsidR="0031121E" w:rsidRPr="00D654F7" w:rsidRDefault="0031121E" w:rsidP="001779AD">
            <w:pPr>
              <w:spacing w:after="0" w:line="240" w:lineRule="auto"/>
              <w:jc w:val="right"/>
              <w:rPr>
                <w:rFonts w:ascii="Book Antiqua" w:eastAsia="Times New Roman" w:hAnsi="Book Antiqua" w:cs="Times New Roman"/>
                <w:color w:val="006400"/>
                <w:sz w:val="24"/>
                <w:szCs w:val="24"/>
              </w:rPr>
            </w:pPr>
          </w:p>
        </w:tc>
        <w:tc>
          <w:tcPr>
            <w:tcW w:w="769" w:type="pct"/>
            <w:tcBorders>
              <w:top w:val="nil"/>
              <w:left w:val="nil"/>
              <w:bottom w:val="single" w:sz="8" w:space="0" w:color="000000"/>
              <w:right w:val="single" w:sz="8" w:space="0" w:color="000000"/>
            </w:tcBorders>
          </w:tcPr>
          <w:p w14:paraId="01DBCCDD" w14:textId="77777777" w:rsidR="0031121E" w:rsidRPr="00D654F7" w:rsidRDefault="0031121E" w:rsidP="001779AD">
            <w:pPr>
              <w:spacing w:after="0" w:line="240" w:lineRule="auto"/>
              <w:jc w:val="right"/>
              <w:rPr>
                <w:rFonts w:ascii="Book Antiqua" w:eastAsia="Times New Roman" w:hAnsi="Book Antiqua" w:cs="Times New Roman"/>
                <w:color w:val="006400"/>
                <w:sz w:val="24"/>
                <w:szCs w:val="24"/>
              </w:rPr>
            </w:pPr>
          </w:p>
        </w:tc>
      </w:tr>
    </w:tbl>
    <w:p w14:paraId="3446C312" w14:textId="77777777" w:rsidR="0031121E" w:rsidRPr="00D654F7" w:rsidRDefault="00B9221C" w:rsidP="001779AD">
      <w:pPr>
        <w:spacing w:after="0" w:line="240" w:lineRule="auto"/>
        <w:jc w:val="center"/>
        <w:rPr>
          <w:rFonts w:ascii="Book Antiqua" w:eastAsia="Times New Roman" w:hAnsi="Book Antiqua" w:cs="Times New Roman"/>
          <w:sz w:val="24"/>
          <w:szCs w:val="24"/>
        </w:rPr>
      </w:pPr>
      <w:r w:rsidRPr="00D654F7">
        <w:rPr>
          <w:rFonts w:ascii="Book Antiqua" w:eastAsia="Times New Roman" w:hAnsi="Book Antiqua" w:cs="Times New Roman"/>
          <w:sz w:val="24"/>
          <w:szCs w:val="24"/>
        </w:rPr>
        <w:t>Source: Processed data, 2025</w:t>
      </w:r>
    </w:p>
    <w:p w14:paraId="19B65BAA" w14:textId="77777777" w:rsidR="0031121E" w:rsidRPr="00616E69" w:rsidRDefault="00B9221C" w:rsidP="001779AD">
      <w:pPr>
        <w:pBdr>
          <w:top w:val="nil"/>
          <w:left w:val="nil"/>
          <w:bottom w:val="nil"/>
          <w:right w:val="nil"/>
          <w:between w:val="nil"/>
        </w:pBdr>
        <w:spacing w:after="0" w:line="240" w:lineRule="auto"/>
        <w:jc w:val="both"/>
        <w:rPr>
          <w:rFonts w:ascii="Book Antiqua" w:eastAsia="Times New Roman" w:hAnsi="Book Antiqua" w:cs="Times New Roman"/>
          <w:b/>
          <w:color w:val="000000"/>
          <w:sz w:val="24"/>
          <w:szCs w:val="24"/>
        </w:rPr>
      </w:pPr>
      <w:r w:rsidRPr="00616E69">
        <w:rPr>
          <w:rFonts w:ascii="Book Antiqua" w:eastAsia="Times New Roman" w:hAnsi="Book Antiqua" w:cs="Times New Roman"/>
          <w:b/>
          <w:color w:val="000000"/>
          <w:sz w:val="24"/>
          <w:szCs w:val="24"/>
        </w:rPr>
        <w:t>Explanation of Employee Engagement Construct (X1)</w:t>
      </w:r>
    </w:p>
    <w:p w14:paraId="03E73F3C" w14:textId="77777777" w:rsidR="00E16972" w:rsidRDefault="00E16972" w:rsidP="001779AD">
      <w:pPr>
        <w:pBdr>
          <w:top w:val="nil"/>
          <w:left w:val="nil"/>
          <w:bottom w:val="nil"/>
          <w:right w:val="nil"/>
          <w:between w:val="nil"/>
        </w:pBdr>
        <w:spacing w:after="0" w:line="240" w:lineRule="auto"/>
        <w:jc w:val="both"/>
        <w:rPr>
          <w:rFonts w:ascii="Book Antiqua" w:eastAsia="Times New Roman" w:hAnsi="Book Antiqua" w:cs="Times New Roman"/>
          <w:color w:val="000000"/>
          <w:sz w:val="24"/>
          <w:szCs w:val="24"/>
        </w:rPr>
      </w:pPr>
      <w:r w:rsidRPr="00E16972">
        <w:rPr>
          <w:rFonts w:ascii="Book Antiqua" w:eastAsia="Times New Roman" w:hAnsi="Book Antiqua" w:cs="Times New Roman"/>
          <w:color w:val="000000"/>
          <w:sz w:val="24"/>
          <w:szCs w:val="24"/>
        </w:rPr>
        <w:t>The four indicators have outer loading values ​​between 0.753 and 0.817, exceeding the minimum limit, indicating a strong correlation and good convergent validity.</w:t>
      </w:r>
    </w:p>
    <w:p w14:paraId="5971964B" w14:textId="77777777" w:rsidR="001779AD" w:rsidRDefault="001779AD" w:rsidP="001779AD">
      <w:pPr>
        <w:pBdr>
          <w:top w:val="nil"/>
          <w:left w:val="nil"/>
          <w:bottom w:val="nil"/>
          <w:right w:val="nil"/>
          <w:between w:val="nil"/>
        </w:pBdr>
        <w:spacing w:after="0" w:line="240" w:lineRule="auto"/>
        <w:jc w:val="both"/>
        <w:rPr>
          <w:rFonts w:ascii="Book Antiqua" w:eastAsia="Times New Roman" w:hAnsi="Book Antiqua" w:cs="Times New Roman"/>
          <w:b/>
          <w:color w:val="000000"/>
          <w:sz w:val="24"/>
          <w:szCs w:val="24"/>
        </w:rPr>
      </w:pPr>
    </w:p>
    <w:p w14:paraId="759FAF9B" w14:textId="77777777" w:rsidR="0031121E" w:rsidRPr="00616E69" w:rsidRDefault="00B9221C" w:rsidP="001779AD">
      <w:pPr>
        <w:pBdr>
          <w:top w:val="nil"/>
          <w:left w:val="nil"/>
          <w:bottom w:val="nil"/>
          <w:right w:val="nil"/>
          <w:between w:val="nil"/>
        </w:pBdr>
        <w:spacing w:after="0" w:line="240" w:lineRule="auto"/>
        <w:jc w:val="both"/>
        <w:rPr>
          <w:rFonts w:ascii="Book Antiqua" w:eastAsia="Times New Roman" w:hAnsi="Book Antiqua" w:cs="Times New Roman"/>
          <w:b/>
          <w:color w:val="000000"/>
          <w:sz w:val="24"/>
          <w:szCs w:val="24"/>
        </w:rPr>
      </w:pPr>
      <w:r w:rsidRPr="00616E69">
        <w:rPr>
          <w:rFonts w:ascii="Book Antiqua" w:eastAsia="Times New Roman" w:hAnsi="Book Antiqua" w:cs="Times New Roman"/>
          <w:b/>
          <w:color w:val="000000"/>
          <w:sz w:val="24"/>
          <w:szCs w:val="24"/>
        </w:rPr>
        <w:t>Explanation of the Perceived Usefulness Construct (X2)</w:t>
      </w:r>
    </w:p>
    <w:p w14:paraId="0A20D0E3" w14:textId="77777777" w:rsidR="0031121E" w:rsidRPr="00D654F7" w:rsidRDefault="00E16972" w:rsidP="001779AD">
      <w:pPr>
        <w:pBdr>
          <w:top w:val="nil"/>
          <w:left w:val="nil"/>
          <w:bottom w:val="nil"/>
          <w:right w:val="nil"/>
          <w:between w:val="nil"/>
        </w:pBdr>
        <w:spacing w:after="0" w:line="240" w:lineRule="auto"/>
        <w:jc w:val="both"/>
        <w:rPr>
          <w:rFonts w:ascii="Book Antiqua" w:eastAsia="Times New Roman" w:hAnsi="Book Antiqua" w:cs="Times New Roman"/>
          <w:color w:val="000000"/>
          <w:sz w:val="24"/>
          <w:szCs w:val="24"/>
        </w:rPr>
      </w:pPr>
      <w:r w:rsidRPr="00E16972">
        <w:rPr>
          <w:rFonts w:ascii="Book Antiqua" w:eastAsia="Times New Roman" w:hAnsi="Book Antiqua" w:cs="Times New Roman"/>
          <w:color w:val="000000"/>
          <w:sz w:val="24"/>
          <w:szCs w:val="24"/>
        </w:rPr>
        <w:t>The indicators for perceived usefulness (X2.1 to X2.4) have outer loading values ​​between 0.792 and 0.834, indicating a very good reflection of this construct, with convergent validity being met.</w:t>
      </w:r>
    </w:p>
    <w:p w14:paraId="27FA4672" w14:textId="77777777" w:rsidR="001779AD" w:rsidRDefault="001779AD" w:rsidP="001779AD">
      <w:pPr>
        <w:pBdr>
          <w:top w:val="nil"/>
          <w:left w:val="nil"/>
          <w:bottom w:val="nil"/>
          <w:right w:val="nil"/>
          <w:between w:val="nil"/>
        </w:pBdr>
        <w:spacing w:after="0" w:line="240" w:lineRule="auto"/>
        <w:jc w:val="both"/>
        <w:rPr>
          <w:rFonts w:ascii="Book Antiqua" w:eastAsia="Times New Roman" w:hAnsi="Book Antiqua" w:cs="Times New Roman"/>
          <w:b/>
          <w:color w:val="000000"/>
          <w:sz w:val="24"/>
          <w:szCs w:val="24"/>
        </w:rPr>
      </w:pPr>
    </w:p>
    <w:p w14:paraId="476D3CCF" w14:textId="77777777" w:rsidR="00616E69" w:rsidRDefault="00B9221C" w:rsidP="001779AD">
      <w:pPr>
        <w:pBdr>
          <w:top w:val="nil"/>
          <w:left w:val="nil"/>
          <w:bottom w:val="nil"/>
          <w:right w:val="nil"/>
          <w:between w:val="nil"/>
        </w:pBdr>
        <w:spacing w:after="0" w:line="240" w:lineRule="auto"/>
        <w:jc w:val="both"/>
        <w:rPr>
          <w:rFonts w:ascii="Book Antiqua" w:eastAsia="Times New Roman" w:hAnsi="Book Antiqua" w:cs="Times New Roman"/>
          <w:b/>
          <w:color w:val="000000"/>
          <w:sz w:val="24"/>
          <w:szCs w:val="24"/>
        </w:rPr>
      </w:pPr>
      <w:r w:rsidRPr="00616E69">
        <w:rPr>
          <w:rFonts w:ascii="Book Antiqua" w:eastAsia="Times New Roman" w:hAnsi="Book Antiqua" w:cs="Times New Roman"/>
          <w:b/>
          <w:color w:val="000000"/>
          <w:sz w:val="24"/>
          <w:szCs w:val="24"/>
        </w:rPr>
        <w:t>Explanation of Employee Retention Construct (Y)</w:t>
      </w:r>
    </w:p>
    <w:p w14:paraId="44C2B049" w14:textId="77777777" w:rsidR="00E16972" w:rsidRDefault="00E16972" w:rsidP="001779AD">
      <w:pPr>
        <w:pBdr>
          <w:top w:val="nil"/>
          <w:left w:val="nil"/>
          <w:bottom w:val="nil"/>
          <w:right w:val="nil"/>
          <w:between w:val="nil"/>
        </w:pBdr>
        <w:spacing w:after="0" w:line="240" w:lineRule="auto"/>
        <w:jc w:val="both"/>
        <w:rPr>
          <w:rFonts w:ascii="Book Antiqua" w:eastAsia="Times New Roman" w:hAnsi="Book Antiqua" w:cs="Times New Roman"/>
          <w:color w:val="000000"/>
          <w:sz w:val="24"/>
          <w:szCs w:val="24"/>
        </w:rPr>
      </w:pPr>
      <w:r w:rsidRPr="00E16972">
        <w:rPr>
          <w:rFonts w:ascii="Book Antiqua" w:eastAsia="Times New Roman" w:hAnsi="Book Antiqua" w:cs="Times New Roman"/>
          <w:color w:val="000000"/>
          <w:sz w:val="24"/>
          <w:szCs w:val="24"/>
        </w:rPr>
        <w:t>The four employee retention indicators have outer loading values ​​between 0.773 and 0.846, with the highest indicator at Y.3 (0.846) and the lowest at Y.4 (0.773), all meeting the convergent validity criteria.</w:t>
      </w:r>
    </w:p>
    <w:p w14:paraId="7BF1A740" w14:textId="77777777" w:rsidR="001779AD" w:rsidRDefault="001779AD" w:rsidP="001779AD">
      <w:pPr>
        <w:pBdr>
          <w:top w:val="nil"/>
          <w:left w:val="nil"/>
          <w:bottom w:val="nil"/>
          <w:right w:val="nil"/>
          <w:between w:val="nil"/>
        </w:pBdr>
        <w:spacing w:after="0" w:line="240" w:lineRule="auto"/>
        <w:jc w:val="both"/>
        <w:rPr>
          <w:rFonts w:ascii="Book Antiqua" w:eastAsia="Times New Roman" w:hAnsi="Book Antiqua" w:cs="Times New Roman"/>
          <w:b/>
          <w:color w:val="000000"/>
          <w:sz w:val="24"/>
          <w:szCs w:val="24"/>
        </w:rPr>
      </w:pPr>
    </w:p>
    <w:p w14:paraId="00AA2E13" w14:textId="77777777" w:rsidR="0031121E" w:rsidRPr="00616E69" w:rsidRDefault="00B9221C" w:rsidP="001779AD">
      <w:pPr>
        <w:pBdr>
          <w:top w:val="nil"/>
          <w:left w:val="nil"/>
          <w:bottom w:val="nil"/>
          <w:right w:val="nil"/>
          <w:between w:val="nil"/>
        </w:pBdr>
        <w:spacing w:after="0" w:line="240" w:lineRule="auto"/>
        <w:jc w:val="both"/>
        <w:rPr>
          <w:rFonts w:ascii="Book Antiqua" w:eastAsia="Times New Roman" w:hAnsi="Book Antiqua" w:cs="Times New Roman"/>
          <w:b/>
          <w:color w:val="000000"/>
          <w:sz w:val="24"/>
          <w:szCs w:val="24"/>
        </w:rPr>
      </w:pPr>
      <w:r w:rsidRPr="00616E69">
        <w:rPr>
          <w:rFonts w:ascii="Book Antiqua" w:eastAsia="Times New Roman" w:hAnsi="Book Antiqua" w:cs="Times New Roman"/>
          <w:b/>
          <w:color w:val="000000"/>
          <w:sz w:val="24"/>
          <w:szCs w:val="24"/>
        </w:rPr>
        <w:t>Explanation of the Work Meaning Construct (M)</w:t>
      </w:r>
    </w:p>
    <w:p w14:paraId="1BB65111" w14:textId="77777777" w:rsidR="0031121E" w:rsidRDefault="00E16972" w:rsidP="001779AD">
      <w:pPr>
        <w:pBdr>
          <w:top w:val="nil"/>
          <w:left w:val="nil"/>
          <w:bottom w:val="nil"/>
          <w:right w:val="nil"/>
          <w:between w:val="nil"/>
        </w:pBdr>
        <w:spacing w:after="0" w:line="240" w:lineRule="auto"/>
        <w:jc w:val="both"/>
        <w:rPr>
          <w:rFonts w:ascii="Book Antiqua" w:eastAsia="Times New Roman" w:hAnsi="Book Antiqua" w:cs="Times New Roman"/>
          <w:color w:val="000000"/>
          <w:sz w:val="24"/>
          <w:szCs w:val="24"/>
        </w:rPr>
      </w:pPr>
      <w:r w:rsidRPr="00E16972">
        <w:rPr>
          <w:rFonts w:ascii="Book Antiqua" w:eastAsia="Times New Roman" w:hAnsi="Book Antiqua" w:cs="Times New Roman"/>
          <w:color w:val="000000"/>
          <w:sz w:val="24"/>
          <w:szCs w:val="24"/>
        </w:rPr>
        <w:t>The four indicators (M.1 to M.4) have outer loading values ​​between 0.735 and 0.821. Although M.3 has the lowest value (0.735), it still meets the minimum threshold of 0.7. The other indicators show strong contributions, thus validly and consistently measuring the construct of work meaning.</w:t>
      </w:r>
    </w:p>
    <w:p w14:paraId="3C50BB90" w14:textId="77777777" w:rsidR="001779AD" w:rsidRPr="00D654F7" w:rsidRDefault="001779AD" w:rsidP="001779AD">
      <w:pPr>
        <w:pBdr>
          <w:top w:val="nil"/>
          <w:left w:val="nil"/>
          <w:bottom w:val="nil"/>
          <w:right w:val="nil"/>
          <w:between w:val="nil"/>
        </w:pBdr>
        <w:spacing w:after="0" w:line="240" w:lineRule="auto"/>
        <w:jc w:val="both"/>
        <w:rPr>
          <w:rFonts w:ascii="Book Antiqua" w:eastAsia="Times New Roman" w:hAnsi="Book Antiqua" w:cs="Times New Roman"/>
          <w:color w:val="000000"/>
          <w:sz w:val="24"/>
          <w:szCs w:val="24"/>
        </w:rPr>
      </w:pPr>
    </w:p>
    <w:p w14:paraId="0038661C" w14:textId="77777777" w:rsidR="0031121E" w:rsidRPr="00D654F7" w:rsidRDefault="00B9221C" w:rsidP="001779AD">
      <w:pPr>
        <w:numPr>
          <w:ilvl w:val="0"/>
          <w:numId w:val="3"/>
        </w:numPr>
        <w:pBdr>
          <w:top w:val="nil"/>
          <w:left w:val="nil"/>
          <w:bottom w:val="nil"/>
          <w:right w:val="nil"/>
          <w:between w:val="nil"/>
        </w:pBdr>
        <w:spacing w:after="0" w:line="240" w:lineRule="auto"/>
        <w:ind w:left="357" w:hanging="357"/>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Convergent Validity (AVE)</w:t>
      </w:r>
    </w:p>
    <w:p w14:paraId="0EB1F36D" w14:textId="77777777" w:rsidR="0031121E" w:rsidRPr="00D654F7" w:rsidRDefault="00C7217D" w:rsidP="001779AD">
      <w:pPr>
        <w:pBdr>
          <w:top w:val="nil"/>
          <w:left w:val="nil"/>
          <w:bottom w:val="nil"/>
          <w:right w:val="nil"/>
          <w:between w:val="nil"/>
        </w:pBdr>
        <w:spacing w:after="0" w:line="240" w:lineRule="auto"/>
        <w:ind w:firstLine="720"/>
        <w:jc w:val="both"/>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Convergent validity demonstrates a construct's ability to consistently reflect its constituent indicators. Convergent validity testing in this study was conducted through an assessment of the Average Variance Extracted (AVE) value. Hair et al. (2022) explained that a construct is considered to meet convergent validity criteria if its AVE value is above 0.5, indicating that the construct is able to explain more than 50% of the variance in the measured indicators.</w:t>
      </w:r>
    </w:p>
    <w:p w14:paraId="5BD4595D" w14:textId="77777777" w:rsidR="0031121E" w:rsidRPr="00D654F7" w:rsidRDefault="00B9221C" w:rsidP="001779AD">
      <w:pPr>
        <w:pBdr>
          <w:top w:val="nil"/>
          <w:left w:val="nil"/>
          <w:bottom w:val="nil"/>
          <w:right w:val="nil"/>
          <w:between w:val="nil"/>
        </w:pBdr>
        <w:spacing w:after="0" w:line="240" w:lineRule="auto"/>
        <w:jc w:val="center"/>
        <w:rPr>
          <w:rFonts w:ascii="Book Antiqua" w:eastAsia="Times New Roman" w:hAnsi="Book Antiqua" w:cs="Times New Roman"/>
          <w:b/>
          <w:bCs/>
          <w:color w:val="000000"/>
          <w:sz w:val="24"/>
          <w:szCs w:val="24"/>
        </w:rPr>
      </w:pPr>
      <w:bookmarkStart w:id="6" w:name="_heading=h.nf3n5z2mbb0p" w:colFirst="0" w:colLast="0"/>
      <w:bookmarkEnd w:id="6"/>
      <w:r w:rsidRPr="00D654F7">
        <w:rPr>
          <w:rFonts w:ascii="Book Antiqua" w:eastAsia="Times New Roman" w:hAnsi="Book Antiqua" w:cs="Times New Roman"/>
          <w:b/>
          <w:bCs/>
          <w:color w:val="000000"/>
          <w:sz w:val="24"/>
          <w:szCs w:val="24"/>
        </w:rPr>
        <w:t>Table 6. Average Variance Extracted (AVE)</w:t>
      </w:r>
    </w:p>
    <w:tbl>
      <w:tblPr>
        <w:tblStyle w:val="a4"/>
        <w:tblW w:w="5490" w:type="dxa"/>
        <w:jc w:val="center"/>
        <w:tblLayout w:type="fixed"/>
        <w:tblLook w:val="0400" w:firstRow="0" w:lastRow="0" w:firstColumn="0" w:lastColumn="0" w:noHBand="0" w:noVBand="1"/>
      </w:tblPr>
      <w:tblGrid>
        <w:gridCol w:w="2985"/>
        <w:gridCol w:w="2505"/>
      </w:tblGrid>
      <w:tr w:rsidR="0031121E" w:rsidRPr="00D654F7" w14:paraId="15C005C5" w14:textId="77777777">
        <w:trPr>
          <w:trHeight w:val="315"/>
          <w:jc w:val="center"/>
        </w:trPr>
        <w:tc>
          <w:tcPr>
            <w:tcW w:w="29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C7538E7" w14:textId="77777777" w:rsidR="0031121E" w:rsidRPr="00D654F7" w:rsidRDefault="0031121E" w:rsidP="001779AD">
            <w:pPr>
              <w:spacing w:after="0" w:line="240" w:lineRule="auto"/>
              <w:rPr>
                <w:rFonts w:ascii="Book Antiqua" w:eastAsia="Times New Roman" w:hAnsi="Book Antiqua" w:cs="Times New Roman"/>
                <w:b/>
                <w:bCs/>
                <w:color w:val="000000"/>
                <w:sz w:val="24"/>
                <w:szCs w:val="24"/>
              </w:rPr>
            </w:pPr>
            <w:bookmarkStart w:id="7" w:name="_heading=h.xro9mbjeinv7" w:colFirst="0" w:colLast="0"/>
            <w:bookmarkEnd w:id="7"/>
          </w:p>
        </w:tc>
        <w:tc>
          <w:tcPr>
            <w:tcW w:w="2505" w:type="dxa"/>
            <w:tcBorders>
              <w:top w:val="single" w:sz="8" w:space="0" w:color="000000"/>
              <w:left w:val="nil"/>
              <w:bottom w:val="single" w:sz="8" w:space="0" w:color="000000"/>
              <w:right w:val="single" w:sz="8" w:space="0" w:color="000000"/>
            </w:tcBorders>
            <w:shd w:val="clear" w:color="auto" w:fill="auto"/>
            <w:vAlign w:val="center"/>
          </w:tcPr>
          <w:p w14:paraId="3814EC75" w14:textId="77777777" w:rsidR="0031121E" w:rsidRPr="00D654F7" w:rsidRDefault="00B9221C" w:rsidP="001779AD">
            <w:pPr>
              <w:spacing w:after="0" w:line="240" w:lineRule="auto"/>
              <w:jc w:val="right"/>
              <w:rPr>
                <w:rFonts w:ascii="Book Antiqua" w:eastAsia="Times New Roman" w:hAnsi="Book Antiqua" w:cs="Times New Roman"/>
                <w:b/>
                <w:bCs/>
                <w:i/>
                <w:iCs/>
                <w:color w:val="000000"/>
                <w:sz w:val="24"/>
                <w:szCs w:val="24"/>
              </w:rPr>
            </w:pPr>
            <w:r w:rsidRPr="00D654F7">
              <w:rPr>
                <w:rFonts w:ascii="Book Antiqua" w:eastAsia="Times New Roman" w:hAnsi="Book Antiqua" w:cs="Times New Roman"/>
                <w:b/>
                <w:bCs/>
                <w:i/>
                <w:iCs/>
                <w:color w:val="000000"/>
                <w:sz w:val="24"/>
                <w:szCs w:val="24"/>
              </w:rPr>
              <w:t>Average Variance Extracted (AVE)</w:t>
            </w:r>
          </w:p>
        </w:tc>
      </w:tr>
      <w:tr w:rsidR="0031121E" w:rsidRPr="00D654F7" w14:paraId="4363D0D0" w14:textId="77777777">
        <w:trPr>
          <w:trHeight w:val="315"/>
          <w:jc w:val="center"/>
        </w:trPr>
        <w:tc>
          <w:tcPr>
            <w:tcW w:w="2985" w:type="dxa"/>
            <w:tcBorders>
              <w:top w:val="nil"/>
              <w:left w:val="single" w:sz="8" w:space="0" w:color="000000"/>
              <w:bottom w:val="single" w:sz="8" w:space="0" w:color="000000"/>
              <w:right w:val="single" w:sz="8" w:space="0" w:color="000000"/>
            </w:tcBorders>
            <w:shd w:val="clear" w:color="auto" w:fill="auto"/>
            <w:vAlign w:val="center"/>
          </w:tcPr>
          <w:p w14:paraId="02AA1210"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Employee Engagement (X1)</w:t>
            </w:r>
          </w:p>
        </w:tc>
        <w:tc>
          <w:tcPr>
            <w:tcW w:w="2505" w:type="dxa"/>
            <w:tcBorders>
              <w:top w:val="nil"/>
              <w:left w:val="nil"/>
              <w:bottom w:val="single" w:sz="8" w:space="0" w:color="000000"/>
              <w:right w:val="single" w:sz="8" w:space="0" w:color="000000"/>
            </w:tcBorders>
            <w:shd w:val="clear" w:color="auto" w:fill="auto"/>
            <w:vAlign w:val="center"/>
          </w:tcPr>
          <w:p w14:paraId="5183ABD4"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0.609</w:t>
            </w:r>
          </w:p>
        </w:tc>
      </w:tr>
      <w:tr w:rsidR="0031121E" w:rsidRPr="00D654F7" w14:paraId="53D0489C" w14:textId="77777777">
        <w:trPr>
          <w:trHeight w:val="315"/>
          <w:jc w:val="center"/>
        </w:trPr>
        <w:tc>
          <w:tcPr>
            <w:tcW w:w="2985" w:type="dxa"/>
            <w:tcBorders>
              <w:top w:val="nil"/>
              <w:left w:val="single" w:sz="8" w:space="0" w:color="000000"/>
              <w:bottom w:val="single" w:sz="8" w:space="0" w:color="000000"/>
              <w:right w:val="single" w:sz="8" w:space="0" w:color="000000"/>
            </w:tcBorders>
            <w:shd w:val="clear" w:color="auto" w:fill="auto"/>
            <w:vAlign w:val="center"/>
          </w:tcPr>
          <w:p w14:paraId="674EA283"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Perceived Usefulness (X2)</w:t>
            </w:r>
          </w:p>
        </w:tc>
        <w:tc>
          <w:tcPr>
            <w:tcW w:w="2505" w:type="dxa"/>
            <w:tcBorders>
              <w:top w:val="nil"/>
              <w:left w:val="nil"/>
              <w:bottom w:val="single" w:sz="8" w:space="0" w:color="000000"/>
              <w:right w:val="single" w:sz="8" w:space="0" w:color="000000"/>
            </w:tcBorders>
            <w:shd w:val="clear" w:color="auto" w:fill="auto"/>
            <w:vAlign w:val="center"/>
          </w:tcPr>
          <w:p w14:paraId="4EBD6B75"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0.658</w:t>
            </w:r>
          </w:p>
        </w:tc>
      </w:tr>
      <w:tr w:rsidR="0031121E" w:rsidRPr="00D654F7" w14:paraId="67BDA623" w14:textId="77777777">
        <w:trPr>
          <w:trHeight w:val="315"/>
          <w:jc w:val="center"/>
        </w:trPr>
        <w:tc>
          <w:tcPr>
            <w:tcW w:w="2985" w:type="dxa"/>
            <w:tcBorders>
              <w:top w:val="nil"/>
              <w:left w:val="single" w:sz="8" w:space="0" w:color="000000"/>
              <w:bottom w:val="single" w:sz="8" w:space="0" w:color="000000"/>
              <w:right w:val="single" w:sz="8" w:space="0" w:color="000000"/>
            </w:tcBorders>
            <w:shd w:val="clear" w:color="auto" w:fill="auto"/>
            <w:vAlign w:val="center"/>
          </w:tcPr>
          <w:p w14:paraId="787E7218" w14:textId="77777777" w:rsidR="0031121E" w:rsidRPr="00D654F7" w:rsidRDefault="00B9221C" w:rsidP="001779AD">
            <w:pPr>
              <w:spacing w:after="0" w:line="240" w:lineRule="auto"/>
              <w:rPr>
                <w:rFonts w:ascii="Book Antiqua" w:eastAsia="Times New Roman" w:hAnsi="Book Antiqua" w:cs="Times New Roman"/>
                <w:b/>
                <w:bCs/>
                <w:sz w:val="24"/>
                <w:szCs w:val="24"/>
              </w:rPr>
            </w:pPr>
            <w:r w:rsidRPr="00D654F7">
              <w:rPr>
                <w:rFonts w:ascii="Book Antiqua" w:eastAsia="Times New Roman" w:hAnsi="Book Antiqua" w:cs="Times New Roman"/>
                <w:b/>
                <w:bCs/>
                <w:sz w:val="24"/>
                <w:szCs w:val="24"/>
              </w:rPr>
              <w:t>Meaning of Work (M)</w:t>
            </w:r>
          </w:p>
        </w:tc>
        <w:tc>
          <w:tcPr>
            <w:tcW w:w="2505" w:type="dxa"/>
            <w:tcBorders>
              <w:top w:val="nil"/>
              <w:left w:val="nil"/>
              <w:bottom w:val="single" w:sz="8" w:space="0" w:color="000000"/>
              <w:right w:val="single" w:sz="8" w:space="0" w:color="000000"/>
            </w:tcBorders>
            <w:shd w:val="clear" w:color="auto" w:fill="auto"/>
            <w:vAlign w:val="center"/>
          </w:tcPr>
          <w:p w14:paraId="25EBF25D"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0.631</w:t>
            </w:r>
          </w:p>
        </w:tc>
      </w:tr>
      <w:tr w:rsidR="0031121E" w:rsidRPr="00D654F7" w14:paraId="4C6E594D" w14:textId="77777777">
        <w:trPr>
          <w:trHeight w:val="315"/>
          <w:jc w:val="center"/>
        </w:trPr>
        <w:tc>
          <w:tcPr>
            <w:tcW w:w="2985" w:type="dxa"/>
            <w:tcBorders>
              <w:top w:val="nil"/>
              <w:left w:val="single" w:sz="8" w:space="0" w:color="000000"/>
              <w:bottom w:val="single" w:sz="8" w:space="0" w:color="000000"/>
              <w:right w:val="single" w:sz="8" w:space="0" w:color="000000"/>
            </w:tcBorders>
            <w:shd w:val="clear" w:color="auto" w:fill="auto"/>
            <w:vAlign w:val="center"/>
          </w:tcPr>
          <w:p w14:paraId="719B6A13"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Employee Retention (Y)</w:t>
            </w:r>
          </w:p>
        </w:tc>
        <w:tc>
          <w:tcPr>
            <w:tcW w:w="2505" w:type="dxa"/>
            <w:tcBorders>
              <w:top w:val="nil"/>
              <w:left w:val="nil"/>
              <w:bottom w:val="single" w:sz="8" w:space="0" w:color="000000"/>
              <w:right w:val="single" w:sz="8" w:space="0" w:color="000000"/>
            </w:tcBorders>
            <w:shd w:val="clear" w:color="auto" w:fill="auto"/>
            <w:vAlign w:val="center"/>
          </w:tcPr>
          <w:p w14:paraId="7241412D"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0.662</w:t>
            </w:r>
          </w:p>
        </w:tc>
      </w:tr>
    </w:tbl>
    <w:p w14:paraId="4064C5D9" w14:textId="77777777" w:rsidR="0031121E" w:rsidRPr="00D654F7" w:rsidRDefault="00B9221C" w:rsidP="001779AD">
      <w:pPr>
        <w:spacing w:after="0" w:line="240" w:lineRule="auto"/>
        <w:jc w:val="center"/>
        <w:rPr>
          <w:rFonts w:ascii="Book Antiqua" w:eastAsia="Times New Roman" w:hAnsi="Book Antiqua" w:cs="Times New Roman"/>
          <w:color w:val="000000"/>
          <w:sz w:val="24"/>
          <w:szCs w:val="24"/>
        </w:rPr>
      </w:pPr>
      <w:r w:rsidRPr="00D654F7">
        <w:rPr>
          <w:rFonts w:ascii="Book Antiqua" w:eastAsia="Times New Roman" w:hAnsi="Book Antiqua" w:cs="Times New Roman"/>
          <w:sz w:val="24"/>
          <w:szCs w:val="24"/>
        </w:rPr>
        <w:t>Source: Processed data, 2025</w:t>
      </w:r>
    </w:p>
    <w:p w14:paraId="7506FEBB" w14:textId="77777777" w:rsidR="0031121E" w:rsidRDefault="00C7217D" w:rsidP="001779AD">
      <w:pPr>
        <w:pBdr>
          <w:top w:val="nil"/>
          <w:left w:val="nil"/>
          <w:bottom w:val="nil"/>
          <w:right w:val="nil"/>
          <w:between w:val="nil"/>
        </w:pBdr>
        <w:spacing w:after="0" w:line="240" w:lineRule="auto"/>
        <w:ind w:firstLine="720"/>
        <w:jc w:val="both"/>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The analysis results show that all constructs in this study have met the requirements for convergent validity, as indicated by the Average Variance Extracted (AVE) value for each construct being above the minimum limit. The AVE value for the Employee Engagement construct was recorded at 0.609, Work Meaning at 0.631, Perceived Usefulness at 0.658, and Employee Retention at 0.662. These findings indicate that each set of indicators is able to explain more than 50% of the variance of the construct it represents. Therefore, the measurement model used in this study is declared to meet the feasibility criteria and can be used reliably for further analysis on the structural model.</w:t>
      </w:r>
    </w:p>
    <w:p w14:paraId="2867312A" w14:textId="77777777" w:rsidR="001779AD" w:rsidRPr="00D654F7" w:rsidRDefault="001779AD" w:rsidP="001779AD">
      <w:pPr>
        <w:pBdr>
          <w:top w:val="nil"/>
          <w:left w:val="nil"/>
          <w:bottom w:val="nil"/>
          <w:right w:val="nil"/>
          <w:between w:val="nil"/>
        </w:pBdr>
        <w:spacing w:after="0" w:line="240" w:lineRule="auto"/>
        <w:ind w:firstLine="720"/>
        <w:jc w:val="both"/>
        <w:rPr>
          <w:rFonts w:ascii="Book Antiqua" w:eastAsia="Times New Roman" w:hAnsi="Book Antiqua" w:cs="Times New Roman"/>
          <w:color w:val="000000"/>
          <w:sz w:val="24"/>
          <w:szCs w:val="24"/>
        </w:rPr>
      </w:pPr>
    </w:p>
    <w:p w14:paraId="19D5DB06" w14:textId="77777777" w:rsidR="0031121E" w:rsidRPr="00D654F7" w:rsidRDefault="00B9221C" w:rsidP="001779AD">
      <w:pPr>
        <w:numPr>
          <w:ilvl w:val="0"/>
          <w:numId w:val="3"/>
        </w:numPr>
        <w:pBdr>
          <w:top w:val="nil"/>
          <w:left w:val="nil"/>
          <w:bottom w:val="nil"/>
          <w:right w:val="nil"/>
          <w:between w:val="nil"/>
        </w:pBdr>
        <w:spacing w:after="0" w:line="240" w:lineRule="auto"/>
        <w:ind w:left="357" w:hanging="357"/>
        <w:jc w:val="both"/>
        <w:rPr>
          <w:rFonts w:ascii="Book Antiqua" w:eastAsia="Times New Roman" w:hAnsi="Book Antiqua" w:cs="Times New Roman"/>
          <w:b/>
          <w:bCs/>
          <w:i/>
          <w:iCs/>
          <w:color w:val="000000"/>
          <w:sz w:val="24"/>
          <w:szCs w:val="24"/>
        </w:rPr>
      </w:pPr>
      <w:r w:rsidRPr="00D654F7">
        <w:rPr>
          <w:rFonts w:ascii="Book Antiqua" w:eastAsia="Times New Roman" w:hAnsi="Book Antiqua" w:cs="Times New Roman"/>
          <w:b/>
          <w:bCs/>
          <w:i/>
          <w:iCs/>
          <w:color w:val="000000"/>
          <w:sz w:val="24"/>
          <w:szCs w:val="24"/>
        </w:rPr>
        <w:t>Cronbach's Alpha</w:t>
      </w:r>
      <w:r w:rsidRPr="00D654F7">
        <w:rPr>
          <w:rFonts w:ascii="Book Antiqua" w:eastAsia="Times New Roman" w:hAnsi="Book Antiqua" w:cs="Times New Roman"/>
          <w:b/>
          <w:bCs/>
          <w:color w:val="000000"/>
          <w:sz w:val="24"/>
          <w:szCs w:val="24"/>
        </w:rPr>
        <w:t>and Composite Reliability (Internal Consistency Reliability)</w:t>
      </w:r>
    </w:p>
    <w:p w14:paraId="3C402296" w14:textId="77777777" w:rsidR="0031121E" w:rsidRPr="00D654F7" w:rsidRDefault="00C7217D" w:rsidP="001779AD">
      <w:pPr>
        <w:pBdr>
          <w:top w:val="nil"/>
          <w:left w:val="nil"/>
          <w:bottom w:val="nil"/>
          <w:right w:val="nil"/>
          <w:between w:val="nil"/>
        </w:pBdr>
        <w:spacing w:after="0" w:line="240" w:lineRule="auto"/>
        <w:ind w:firstLine="720"/>
        <w:jc w:val="both"/>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The next step in evaluating the outer model is testing the internal reliability of each construct used. This testing is conducted using two main indicators: Cronbach's Alpha and Composite Reliability. Cronbach's Alpha measures the level of consistency between indicators within a construct, while Composite Reliability assesses the relative contribution of each indicator based on the resulting outer loading value. Hair et al. (2022) state that both measures are considered to meet reliability criteria if they have a value above 0.7, reflecting an adequate level of reliability in social research.</w:t>
      </w:r>
    </w:p>
    <w:p w14:paraId="037BB12F" w14:textId="77777777" w:rsidR="0031121E" w:rsidRPr="00D654F7" w:rsidRDefault="00B9221C" w:rsidP="001779AD">
      <w:pPr>
        <w:pBdr>
          <w:top w:val="nil"/>
          <w:left w:val="nil"/>
          <w:bottom w:val="nil"/>
          <w:right w:val="nil"/>
          <w:between w:val="nil"/>
        </w:pBdr>
        <w:spacing w:after="0" w:line="240" w:lineRule="auto"/>
        <w:jc w:val="center"/>
        <w:rPr>
          <w:rFonts w:ascii="Book Antiqua" w:eastAsia="Times New Roman" w:hAnsi="Book Antiqua" w:cs="Times New Roman"/>
          <w:b/>
          <w:bCs/>
          <w:color w:val="000000"/>
          <w:sz w:val="24"/>
          <w:szCs w:val="24"/>
        </w:rPr>
      </w:pPr>
      <w:bookmarkStart w:id="8" w:name="_heading=h.jabgwftva3ku" w:colFirst="0" w:colLast="0"/>
      <w:bookmarkEnd w:id="8"/>
      <w:r w:rsidRPr="00D654F7">
        <w:rPr>
          <w:rFonts w:ascii="Book Antiqua" w:eastAsia="Times New Roman" w:hAnsi="Book Antiqua" w:cs="Times New Roman"/>
          <w:b/>
          <w:bCs/>
          <w:color w:val="000000"/>
          <w:sz w:val="24"/>
          <w:szCs w:val="24"/>
        </w:rPr>
        <w:t>Table 7. Cronbach's Alpha and Composite Reliability (Internal Consistency Reliability)</w:t>
      </w:r>
    </w:p>
    <w:tbl>
      <w:tblPr>
        <w:tblStyle w:val="a5"/>
        <w:tblW w:w="7290" w:type="dxa"/>
        <w:jc w:val="center"/>
        <w:tblLayout w:type="fixed"/>
        <w:tblLook w:val="0400" w:firstRow="0" w:lastRow="0" w:firstColumn="0" w:lastColumn="0" w:noHBand="0" w:noVBand="1"/>
      </w:tblPr>
      <w:tblGrid>
        <w:gridCol w:w="2985"/>
        <w:gridCol w:w="1410"/>
        <w:gridCol w:w="1455"/>
        <w:gridCol w:w="1440"/>
      </w:tblGrid>
      <w:tr w:rsidR="0031121E" w:rsidRPr="00D654F7" w14:paraId="3CDC73E2" w14:textId="77777777">
        <w:trPr>
          <w:trHeight w:val="315"/>
          <w:jc w:val="center"/>
        </w:trPr>
        <w:tc>
          <w:tcPr>
            <w:tcW w:w="29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B48FFA3" w14:textId="77777777" w:rsidR="0031121E" w:rsidRPr="00D654F7" w:rsidRDefault="0031121E" w:rsidP="001779AD">
            <w:pPr>
              <w:spacing w:after="0" w:line="240" w:lineRule="auto"/>
              <w:rPr>
                <w:rFonts w:ascii="Book Antiqua" w:eastAsia="Times New Roman" w:hAnsi="Book Antiqua" w:cs="Times New Roman"/>
                <w:b/>
                <w:bCs/>
                <w:color w:val="000000"/>
                <w:sz w:val="24"/>
                <w:szCs w:val="24"/>
              </w:rPr>
            </w:pPr>
          </w:p>
        </w:tc>
        <w:tc>
          <w:tcPr>
            <w:tcW w:w="1410" w:type="dxa"/>
            <w:tcBorders>
              <w:top w:val="single" w:sz="8" w:space="0" w:color="000000"/>
              <w:left w:val="nil"/>
              <w:bottom w:val="single" w:sz="8" w:space="0" w:color="000000"/>
              <w:right w:val="single" w:sz="8" w:space="0" w:color="000000"/>
            </w:tcBorders>
            <w:shd w:val="clear" w:color="auto" w:fill="auto"/>
            <w:vAlign w:val="center"/>
          </w:tcPr>
          <w:p w14:paraId="7A83E674" w14:textId="77777777" w:rsidR="0031121E" w:rsidRPr="00D654F7" w:rsidRDefault="00B9221C" w:rsidP="001779AD">
            <w:pPr>
              <w:spacing w:after="0" w:line="240" w:lineRule="auto"/>
              <w:jc w:val="right"/>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Cronbach's alpha</w:t>
            </w:r>
          </w:p>
        </w:tc>
        <w:tc>
          <w:tcPr>
            <w:tcW w:w="1455" w:type="dxa"/>
            <w:tcBorders>
              <w:top w:val="single" w:sz="8" w:space="0" w:color="000000"/>
              <w:left w:val="nil"/>
              <w:bottom w:val="single" w:sz="8" w:space="0" w:color="000000"/>
              <w:right w:val="single" w:sz="8" w:space="0" w:color="000000"/>
            </w:tcBorders>
            <w:shd w:val="clear" w:color="auto" w:fill="auto"/>
            <w:vAlign w:val="center"/>
          </w:tcPr>
          <w:p w14:paraId="312CF2F7" w14:textId="77777777" w:rsidR="0031121E" w:rsidRPr="00D654F7" w:rsidRDefault="00B9221C" w:rsidP="001779AD">
            <w:pPr>
              <w:spacing w:after="0" w:line="240" w:lineRule="auto"/>
              <w:jc w:val="right"/>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Composite reliability (rho_a)</w:t>
            </w:r>
          </w:p>
        </w:tc>
        <w:tc>
          <w:tcPr>
            <w:tcW w:w="1440" w:type="dxa"/>
            <w:tcBorders>
              <w:top w:val="single" w:sz="8" w:space="0" w:color="000000"/>
              <w:left w:val="nil"/>
              <w:bottom w:val="single" w:sz="8" w:space="0" w:color="000000"/>
              <w:right w:val="single" w:sz="8" w:space="0" w:color="000000"/>
            </w:tcBorders>
            <w:shd w:val="clear" w:color="auto" w:fill="auto"/>
            <w:vAlign w:val="center"/>
          </w:tcPr>
          <w:p w14:paraId="2471CD44" w14:textId="77777777" w:rsidR="0031121E" w:rsidRPr="00D654F7" w:rsidRDefault="00B9221C" w:rsidP="001779AD">
            <w:pPr>
              <w:spacing w:after="0" w:line="240" w:lineRule="auto"/>
              <w:jc w:val="right"/>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Composite reliability (rho_c)</w:t>
            </w:r>
          </w:p>
        </w:tc>
      </w:tr>
      <w:tr w:rsidR="0031121E" w:rsidRPr="00D654F7" w14:paraId="3E19313E" w14:textId="77777777">
        <w:trPr>
          <w:trHeight w:val="315"/>
          <w:jc w:val="center"/>
        </w:trPr>
        <w:tc>
          <w:tcPr>
            <w:tcW w:w="2985" w:type="dxa"/>
            <w:tcBorders>
              <w:top w:val="nil"/>
              <w:left w:val="single" w:sz="8" w:space="0" w:color="000000"/>
              <w:bottom w:val="single" w:sz="8" w:space="0" w:color="000000"/>
              <w:right w:val="single" w:sz="8" w:space="0" w:color="000000"/>
            </w:tcBorders>
            <w:shd w:val="clear" w:color="auto" w:fill="auto"/>
            <w:vAlign w:val="center"/>
          </w:tcPr>
          <w:p w14:paraId="70567832"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Employee Engagement (X1)</w:t>
            </w:r>
          </w:p>
        </w:tc>
        <w:tc>
          <w:tcPr>
            <w:tcW w:w="1410" w:type="dxa"/>
            <w:tcBorders>
              <w:top w:val="nil"/>
              <w:left w:val="nil"/>
              <w:bottom w:val="single" w:sz="8" w:space="0" w:color="000000"/>
              <w:right w:val="single" w:sz="8" w:space="0" w:color="000000"/>
            </w:tcBorders>
            <w:shd w:val="clear" w:color="auto" w:fill="auto"/>
            <w:vAlign w:val="center"/>
          </w:tcPr>
          <w:p w14:paraId="404E00DD"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0.785</w:t>
            </w:r>
          </w:p>
        </w:tc>
        <w:tc>
          <w:tcPr>
            <w:tcW w:w="1455" w:type="dxa"/>
            <w:tcBorders>
              <w:top w:val="nil"/>
              <w:left w:val="nil"/>
              <w:bottom w:val="single" w:sz="8" w:space="0" w:color="000000"/>
              <w:right w:val="single" w:sz="8" w:space="0" w:color="000000"/>
            </w:tcBorders>
            <w:shd w:val="clear" w:color="auto" w:fill="auto"/>
            <w:vAlign w:val="center"/>
          </w:tcPr>
          <w:p w14:paraId="0B83EAF1"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0.785</w:t>
            </w:r>
          </w:p>
        </w:tc>
        <w:tc>
          <w:tcPr>
            <w:tcW w:w="1440" w:type="dxa"/>
            <w:tcBorders>
              <w:top w:val="nil"/>
              <w:left w:val="nil"/>
              <w:bottom w:val="single" w:sz="8" w:space="0" w:color="000000"/>
              <w:right w:val="single" w:sz="8" w:space="0" w:color="000000"/>
            </w:tcBorders>
            <w:shd w:val="clear" w:color="auto" w:fill="auto"/>
            <w:vAlign w:val="center"/>
          </w:tcPr>
          <w:p w14:paraId="5ED8CC0E"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0.861</w:t>
            </w:r>
          </w:p>
        </w:tc>
      </w:tr>
      <w:tr w:rsidR="0031121E" w:rsidRPr="00D654F7" w14:paraId="1A8E85A4" w14:textId="77777777">
        <w:trPr>
          <w:trHeight w:val="315"/>
          <w:jc w:val="center"/>
        </w:trPr>
        <w:tc>
          <w:tcPr>
            <w:tcW w:w="2985" w:type="dxa"/>
            <w:tcBorders>
              <w:top w:val="nil"/>
              <w:left w:val="single" w:sz="8" w:space="0" w:color="000000"/>
              <w:bottom w:val="single" w:sz="8" w:space="0" w:color="000000"/>
              <w:right w:val="single" w:sz="8" w:space="0" w:color="000000"/>
            </w:tcBorders>
            <w:shd w:val="clear" w:color="auto" w:fill="auto"/>
            <w:vAlign w:val="center"/>
          </w:tcPr>
          <w:p w14:paraId="6782F089"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Perceived Usefulness (X2)</w:t>
            </w:r>
          </w:p>
        </w:tc>
        <w:tc>
          <w:tcPr>
            <w:tcW w:w="1410" w:type="dxa"/>
            <w:tcBorders>
              <w:top w:val="nil"/>
              <w:left w:val="nil"/>
              <w:bottom w:val="single" w:sz="8" w:space="0" w:color="000000"/>
              <w:right w:val="single" w:sz="8" w:space="0" w:color="000000"/>
            </w:tcBorders>
            <w:shd w:val="clear" w:color="auto" w:fill="auto"/>
            <w:vAlign w:val="center"/>
          </w:tcPr>
          <w:p w14:paraId="2552AFE2"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0.826</w:t>
            </w:r>
          </w:p>
        </w:tc>
        <w:tc>
          <w:tcPr>
            <w:tcW w:w="1455" w:type="dxa"/>
            <w:tcBorders>
              <w:top w:val="nil"/>
              <w:left w:val="nil"/>
              <w:bottom w:val="single" w:sz="8" w:space="0" w:color="000000"/>
              <w:right w:val="single" w:sz="8" w:space="0" w:color="000000"/>
            </w:tcBorders>
            <w:shd w:val="clear" w:color="auto" w:fill="auto"/>
            <w:vAlign w:val="center"/>
          </w:tcPr>
          <w:p w14:paraId="70322B18"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0.827</w:t>
            </w:r>
          </w:p>
        </w:tc>
        <w:tc>
          <w:tcPr>
            <w:tcW w:w="1440" w:type="dxa"/>
            <w:tcBorders>
              <w:top w:val="nil"/>
              <w:left w:val="nil"/>
              <w:bottom w:val="single" w:sz="8" w:space="0" w:color="000000"/>
              <w:right w:val="single" w:sz="8" w:space="0" w:color="000000"/>
            </w:tcBorders>
            <w:shd w:val="clear" w:color="auto" w:fill="auto"/>
            <w:vAlign w:val="center"/>
          </w:tcPr>
          <w:p w14:paraId="4FAC282F"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0.885</w:t>
            </w:r>
          </w:p>
        </w:tc>
      </w:tr>
      <w:tr w:rsidR="0031121E" w:rsidRPr="00D654F7" w14:paraId="5010E0C3" w14:textId="77777777">
        <w:trPr>
          <w:trHeight w:val="315"/>
          <w:jc w:val="center"/>
        </w:trPr>
        <w:tc>
          <w:tcPr>
            <w:tcW w:w="2985" w:type="dxa"/>
            <w:tcBorders>
              <w:top w:val="nil"/>
              <w:left w:val="single" w:sz="8" w:space="0" w:color="000000"/>
              <w:bottom w:val="single" w:sz="8" w:space="0" w:color="000000"/>
              <w:right w:val="single" w:sz="8" w:space="0" w:color="000000"/>
            </w:tcBorders>
            <w:shd w:val="clear" w:color="auto" w:fill="auto"/>
            <w:vAlign w:val="center"/>
          </w:tcPr>
          <w:p w14:paraId="68A9B400" w14:textId="77777777" w:rsidR="0031121E" w:rsidRPr="00D654F7" w:rsidRDefault="00B9221C" w:rsidP="001779AD">
            <w:pPr>
              <w:spacing w:after="0" w:line="240" w:lineRule="auto"/>
              <w:rPr>
                <w:rFonts w:ascii="Book Antiqua" w:eastAsia="Times New Roman" w:hAnsi="Book Antiqua" w:cs="Times New Roman"/>
                <w:b/>
                <w:bCs/>
                <w:sz w:val="24"/>
                <w:szCs w:val="24"/>
              </w:rPr>
            </w:pPr>
            <w:r w:rsidRPr="00D654F7">
              <w:rPr>
                <w:rFonts w:ascii="Book Antiqua" w:eastAsia="Times New Roman" w:hAnsi="Book Antiqua" w:cs="Times New Roman"/>
                <w:b/>
                <w:bCs/>
                <w:sz w:val="24"/>
                <w:szCs w:val="24"/>
              </w:rPr>
              <w:t>Meaning of Work (M)</w:t>
            </w:r>
          </w:p>
        </w:tc>
        <w:tc>
          <w:tcPr>
            <w:tcW w:w="1410" w:type="dxa"/>
            <w:tcBorders>
              <w:top w:val="nil"/>
              <w:left w:val="nil"/>
              <w:bottom w:val="single" w:sz="8" w:space="0" w:color="000000"/>
              <w:right w:val="single" w:sz="8" w:space="0" w:color="000000"/>
            </w:tcBorders>
            <w:shd w:val="clear" w:color="auto" w:fill="auto"/>
            <w:vAlign w:val="center"/>
          </w:tcPr>
          <w:p w14:paraId="516B5285"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0.805</w:t>
            </w:r>
          </w:p>
        </w:tc>
        <w:tc>
          <w:tcPr>
            <w:tcW w:w="1455" w:type="dxa"/>
            <w:tcBorders>
              <w:top w:val="nil"/>
              <w:left w:val="nil"/>
              <w:bottom w:val="single" w:sz="8" w:space="0" w:color="000000"/>
              <w:right w:val="single" w:sz="8" w:space="0" w:color="000000"/>
            </w:tcBorders>
            <w:shd w:val="clear" w:color="auto" w:fill="auto"/>
            <w:vAlign w:val="center"/>
          </w:tcPr>
          <w:p w14:paraId="1D498F16"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0.811</w:t>
            </w:r>
          </w:p>
        </w:tc>
        <w:tc>
          <w:tcPr>
            <w:tcW w:w="1440" w:type="dxa"/>
            <w:tcBorders>
              <w:top w:val="nil"/>
              <w:left w:val="nil"/>
              <w:bottom w:val="single" w:sz="8" w:space="0" w:color="000000"/>
              <w:right w:val="single" w:sz="8" w:space="0" w:color="000000"/>
            </w:tcBorders>
            <w:shd w:val="clear" w:color="auto" w:fill="auto"/>
            <w:vAlign w:val="center"/>
          </w:tcPr>
          <w:p w14:paraId="2A02FF82"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0.872</w:t>
            </w:r>
          </w:p>
        </w:tc>
      </w:tr>
      <w:tr w:rsidR="0031121E" w:rsidRPr="00D654F7" w14:paraId="6B90D0D6" w14:textId="77777777">
        <w:trPr>
          <w:trHeight w:val="315"/>
          <w:jc w:val="center"/>
        </w:trPr>
        <w:tc>
          <w:tcPr>
            <w:tcW w:w="2985" w:type="dxa"/>
            <w:tcBorders>
              <w:top w:val="nil"/>
              <w:left w:val="single" w:sz="8" w:space="0" w:color="000000"/>
              <w:bottom w:val="single" w:sz="8" w:space="0" w:color="000000"/>
              <w:right w:val="single" w:sz="8" w:space="0" w:color="000000"/>
            </w:tcBorders>
            <w:shd w:val="clear" w:color="auto" w:fill="auto"/>
            <w:vAlign w:val="center"/>
          </w:tcPr>
          <w:p w14:paraId="328B7E12"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Employee Retention (Y)</w:t>
            </w:r>
          </w:p>
        </w:tc>
        <w:tc>
          <w:tcPr>
            <w:tcW w:w="1410" w:type="dxa"/>
            <w:tcBorders>
              <w:top w:val="nil"/>
              <w:left w:val="nil"/>
              <w:bottom w:val="single" w:sz="8" w:space="0" w:color="000000"/>
              <w:right w:val="single" w:sz="8" w:space="0" w:color="000000"/>
            </w:tcBorders>
            <w:shd w:val="clear" w:color="auto" w:fill="auto"/>
            <w:vAlign w:val="center"/>
          </w:tcPr>
          <w:p w14:paraId="2C703B3A"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0.83</w:t>
            </w:r>
          </w:p>
        </w:tc>
        <w:tc>
          <w:tcPr>
            <w:tcW w:w="1455" w:type="dxa"/>
            <w:tcBorders>
              <w:top w:val="nil"/>
              <w:left w:val="nil"/>
              <w:bottom w:val="single" w:sz="8" w:space="0" w:color="000000"/>
              <w:right w:val="single" w:sz="8" w:space="0" w:color="000000"/>
            </w:tcBorders>
            <w:shd w:val="clear" w:color="auto" w:fill="auto"/>
            <w:vAlign w:val="center"/>
          </w:tcPr>
          <w:p w14:paraId="689CECDF"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0.838</w:t>
            </w:r>
          </w:p>
        </w:tc>
        <w:tc>
          <w:tcPr>
            <w:tcW w:w="1440" w:type="dxa"/>
            <w:tcBorders>
              <w:top w:val="nil"/>
              <w:left w:val="nil"/>
              <w:bottom w:val="single" w:sz="8" w:space="0" w:color="000000"/>
              <w:right w:val="single" w:sz="8" w:space="0" w:color="000000"/>
            </w:tcBorders>
            <w:shd w:val="clear" w:color="auto" w:fill="auto"/>
            <w:vAlign w:val="center"/>
          </w:tcPr>
          <w:p w14:paraId="673807D1"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0.887</w:t>
            </w:r>
          </w:p>
        </w:tc>
      </w:tr>
    </w:tbl>
    <w:p w14:paraId="2DA8A1DF" w14:textId="77777777" w:rsidR="0031121E" w:rsidRPr="00D654F7" w:rsidRDefault="00B9221C" w:rsidP="001779AD">
      <w:pPr>
        <w:spacing w:after="0" w:line="240" w:lineRule="auto"/>
        <w:jc w:val="center"/>
        <w:rPr>
          <w:rFonts w:ascii="Book Antiqua" w:eastAsia="Times New Roman" w:hAnsi="Book Antiqua" w:cs="Times New Roman"/>
          <w:sz w:val="24"/>
          <w:szCs w:val="24"/>
        </w:rPr>
      </w:pPr>
      <w:r w:rsidRPr="00D654F7">
        <w:rPr>
          <w:rFonts w:ascii="Book Antiqua" w:eastAsia="Times New Roman" w:hAnsi="Book Antiqua" w:cs="Times New Roman"/>
          <w:sz w:val="24"/>
          <w:szCs w:val="24"/>
        </w:rPr>
        <w:t>Source: Processed data, 2025</w:t>
      </w:r>
    </w:p>
    <w:p w14:paraId="3956B2DE" w14:textId="77777777" w:rsidR="0031121E" w:rsidRDefault="0083101E" w:rsidP="001779AD">
      <w:pPr>
        <w:pBdr>
          <w:top w:val="nil"/>
          <w:left w:val="nil"/>
          <w:bottom w:val="nil"/>
          <w:right w:val="nil"/>
          <w:between w:val="nil"/>
        </w:pBdr>
        <w:spacing w:after="0" w:line="240" w:lineRule="auto"/>
        <w:ind w:firstLine="720"/>
        <w:jc w:val="both"/>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The test results presented in the table indicate that all latent constructs met reliability criteria. This is reflected in the Cronbach's Alpha and Composite Reliability values ​​for each construct, which were above the 0.7 threshold. Therefore, the constructs used in this study have a good level of internal consistency and are considered reliable for use in subsequent analysis stages.</w:t>
      </w:r>
    </w:p>
    <w:p w14:paraId="4E18B3BB" w14:textId="77777777" w:rsidR="00D52B6B" w:rsidRPr="00D654F7" w:rsidRDefault="00D52B6B" w:rsidP="001779AD">
      <w:pPr>
        <w:pBdr>
          <w:top w:val="nil"/>
          <w:left w:val="nil"/>
          <w:bottom w:val="nil"/>
          <w:right w:val="nil"/>
          <w:between w:val="nil"/>
        </w:pBdr>
        <w:spacing w:after="0" w:line="240" w:lineRule="auto"/>
        <w:ind w:firstLine="720"/>
        <w:jc w:val="both"/>
        <w:rPr>
          <w:rFonts w:ascii="Book Antiqua" w:eastAsia="Times New Roman" w:hAnsi="Book Antiqua" w:cs="Times New Roman"/>
          <w:color w:val="000000"/>
          <w:sz w:val="24"/>
          <w:szCs w:val="24"/>
        </w:rPr>
      </w:pPr>
    </w:p>
    <w:p w14:paraId="24B3F8E8" w14:textId="77777777" w:rsidR="0031121E" w:rsidRPr="00D654F7" w:rsidRDefault="00B9221C" w:rsidP="001779AD">
      <w:pPr>
        <w:numPr>
          <w:ilvl w:val="0"/>
          <w:numId w:val="3"/>
        </w:numPr>
        <w:pBdr>
          <w:top w:val="nil"/>
          <w:left w:val="nil"/>
          <w:bottom w:val="nil"/>
          <w:right w:val="nil"/>
          <w:between w:val="nil"/>
        </w:pBdr>
        <w:spacing w:after="0" w:line="240" w:lineRule="auto"/>
        <w:ind w:left="357" w:hanging="357"/>
        <w:jc w:val="both"/>
        <w:rPr>
          <w:rFonts w:ascii="Book Antiqua" w:eastAsia="Times New Roman" w:hAnsi="Book Antiqua" w:cs="Times New Roman"/>
          <w:b/>
          <w:bCs/>
          <w:i/>
          <w:iCs/>
          <w:color w:val="000000"/>
          <w:sz w:val="24"/>
          <w:szCs w:val="24"/>
        </w:rPr>
      </w:pPr>
      <w:r w:rsidRPr="00D654F7">
        <w:rPr>
          <w:rFonts w:ascii="Book Antiqua" w:eastAsia="Times New Roman" w:hAnsi="Book Antiqua" w:cs="Times New Roman"/>
          <w:b/>
          <w:bCs/>
          <w:i/>
          <w:iCs/>
          <w:color w:val="000000"/>
          <w:sz w:val="24"/>
          <w:szCs w:val="24"/>
        </w:rPr>
        <w:t>Discriminant Validity</w:t>
      </w:r>
    </w:p>
    <w:p w14:paraId="2760AC4E" w14:textId="77777777" w:rsidR="00E16972" w:rsidRDefault="0000290E" w:rsidP="001779AD">
      <w:pPr>
        <w:pBdr>
          <w:top w:val="nil"/>
          <w:left w:val="nil"/>
          <w:bottom w:val="nil"/>
          <w:right w:val="nil"/>
          <w:between w:val="nil"/>
        </w:pBdr>
        <w:spacing w:after="0" w:line="240" w:lineRule="auto"/>
        <w:ind w:firstLine="720"/>
        <w:jc w:val="both"/>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To ensure that each construct in the model clearly represents a distinct concept, discriminant validity testing is conducted. This testing aims to confirm that each construct does not overlap in explaining different phenomena. Some commonly used techniques in evaluating discriminant validity include the Fornell–Larcker criterion, cross-loading analysis, and the heterotrait–monotrait ratio (HTMT), as proposed by Hair et al. (2022).</w:t>
      </w:r>
    </w:p>
    <w:p w14:paraId="42BF05E0" w14:textId="77777777" w:rsidR="0031121E" w:rsidRPr="00D654F7" w:rsidRDefault="0000290E" w:rsidP="001779AD">
      <w:pPr>
        <w:pBdr>
          <w:top w:val="nil"/>
          <w:left w:val="nil"/>
          <w:bottom w:val="nil"/>
          <w:right w:val="nil"/>
          <w:between w:val="nil"/>
        </w:pBdr>
        <w:spacing w:after="0" w:line="240" w:lineRule="auto"/>
        <w:ind w:firstLine="720"/>
        <w:jc w:val="both"/>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One of the main methods applied in this test is the Fornell–Larcker criterion. Based on this approach, a construct is declared to have discriminant validity if the square root of the Average Variance Extracted (AVE) value for that construct is higher than its highest correlation value with other constructs. Evaluation of this criterion is demonstrated through the results presented in Table 8 below.</w:t>
      </w:r>
    </w:p>
    <w:p w14:paraId="35513E8A" w14:textId="77777777" w:rsidR="0031121E" w:rsidRPr="00D654F7" w:rsidRDefault="00B9221C" w:rsidP="001779AD">
      <w:pPr>
        <w:pBdr>
          <w:top w:val="nil"/>
          <w:left w:val="nil"/>
          <w:bottom w:val="nil"/>
          <w:right w:val="nil"/>
          <w:between w:val="nil"/>
        </w:pBdr>
        <w:spacing w:after="0" w:line="240" w:lineRule="auto"/>
        <w:jc w:val="center"/>
        <w:rPr>
          <w:rFonts w:ascii="Book Antiqua" w:eastAsia="Times New Roman" w:hAnsi="Book Antiqua" w:cs="Times New Roman"/>
          <w:color w:val="000000"/>
          <w:sz w:val="24"/>
          <w:szCs w:val="24"/>
        </w:rPr>
      </w:pPr>
      <w:bookmarkStart w:id="9" w:name="_heading=h.wfqeyfg7zrun" w:colFirst="0" w:colLast="0"/>
      <w:bookmarkEnd w:id="9"/>
      <w:r w:rsidRPr="00D654F7">
        <w:rPr>
          <w:rFonts w:ascii="Book Antiqua" w:eastAsia="Times New Roman" w:hAnsi="Book Antiqua" w:cs="Times New Roman"/>
          <w:b/>
          <w:bCs/>
          <w:color w:val="000000"/>
          <w:sz w:val="24"/>
          <w:szCs w:val="24"/>
        </w:rPr>
        <w:t>Table 8. Fornell-Larcker Criterion</w:t>
      </w:r>
    </w:p>
    <w:tbl>
      <w:tblPr>
        <w:tblStyle w:val="a6"/>
        <w:tblW w:w="8760" w:type="dxa"/>
        <w:jc w:val="center"/>
        <w:tblLayout w:type="fixed"/>
        <w:tblLook w:val="0400" w:firstRow="0" w:lastRow="0" w:firstColumn="0" w:lastColumn="0" w:noHBand="0" w:noVBand="1"/>
      </w:tblPr>
      <w:tblGrid>
        <w:gridCol w:w="2805"/>
        <w:gridCol w:w="1530"/>
        <w:gridCol w:w="1275"/>
        <w:gridCol w:w="1800"/>
        <w:gridCol w:w="1350"/>
      </w:tblGrid>
      <w:tr w:rsidR="0031121E" w:rsidRPr="00D654F7" w14:paraId="65CA9E38" w14:textId="77777777">
        <w:trPr>
          <w:trHeight w:val="968"/>
          <w:jc w:val="center"/>
        </w:trPr>
        <w:tc>
          <w:tcPr>
            <w:tcW w:w="280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8D8F7A6" w14:textId="77777777" w:rsidR="0031121E" w:rsidRPr="00D654F7" w:rsidRDefault="0031121E" w:rsidP="001779AD">
            <w:pPr>
              <w:spacing w:after="0" w:line="240" w:lineRule="auto"/>
              <w:rPr>
                <w:rFonts w:ascii="Book Antiqua" w:eastAsia="Times New Roman" w:hAnsi="Book Antiqua" w:cs="Times New Roman"/>
                <w:b/>
                <w:bCs/>
                <w:color w:val="000000"/>
                <w:sz w:val="24"/>
                <w:szCs w:val="24"/>
              </w:rPr>
            </w:pPr>
          </w:p>
        </w:tc>
        <w:tc>
          <w:tcPr>
            <w:tcW w:w="1530" w:type="dxa"/>
            <w:tcBorders>
              <w:top w:val="single" w:sz="8" w:space="0" w:color="000000"/>
              <w:left w:val="nil"/>
              <w:bottom w:val="single" w:sz="8" w:space="0" w:color="000000"/>
              <w:right w:val="single" w:sz="8" w:space="0" w:color="000000"/>
            </w:tcBorders>
            <w:shd w:val="clear" w:color="auto" w:fill="auto"/>
            <w:vAlign w:val="center"/>
          </w:tcPr>
          <w:p w14:paraId="06A141AC" w14:textId="77777777" w:rsidR="0031121E" w:rsidRPr="00D654F7" w:rsidRDefault="00B9221C" w:rsidP="001779AD">
            <w:pPr>
              <w:spacing w:after="0" w:line="240" w:lineRule="auto"/>
              <w:jc w:val="right"/>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Employee Engagement (X1)</w:t>
            </w:r>
          </w:p>
        </w:tc>
        <w:tc>
          <w:tcPr>
            <w:tcW w:w="1275" w:type="dxa"/>
            <w:tcBorders>
              <w:top w:val="single" w:sz="8" w:space="0" w:color="000000"/>
              <w:left w:val="nil"/>
              <w:bottom w:val="single" w:sz="8" w:space="0" w:color="000000"/>
              <w:right w:val="single" w:sz="8" w:space="0" w:color="000000"/>
            </w:tcBorders>
            <w:shd w:val="clear" w:color="auto" w:fill="auto"/>
            <w:vAlign w:val="center"/>
          </w:tcPr>
          <w:p w14:paraId="736116F5" w14:textId="77777777" w:rsidR="0031121E" w:rsidRPr="00D654F7" w:rsidRDefault="00B9221C" w:rsidP="001779AD">
            <w:pPr>
              <w:spacing w:after="0" w:line="240" w:lineRule="auto"/>
              <w:jc w:val="right"/>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Meaning of Work (M)</w:t>
            </w:r>
          </w:p>
        </w:tc>
        <w:tc>
          <w:tcPr>
            <w:tcW w:w="1800" w:type="dxa"/>
            <w:tcBorders>
              <w:top w:val="single" w:sz="8" w:space="0" w:color="000000"/>
              <w:left w:val="nil"/>
              <w:bottom w:val="single" w:sz="8" w:space="0" w:color="000000"/>
              <w:right w:val="single" w:sz="8" w:space="0" w:color="000000"/>
            </w:tcBorders>
            <w:shd w:val="clear" w:color="auto" w:fill="auto"/>
            <w:vAlign w:val="center"/>
          </w:tcPr>
          <w:p w14:paraId="6EBAAD09" w14:textId="77777777" w:rsidR="0031121E" w:rsidRPr="00D654F7" w:rsidRDefault="00B9221C" w:rsidP="001779AD">
            <w:pPr>
              <w:spacing w:after="0" w:line="240" w:lineRule="auto"/>
              <w:jc w:val="right"/>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Perceived Usefulness (X2)</w:t>
            </w:r>
          </w:p>
        </w:tc>
        <w:tc>
          <w:tcPr>
            <w:tcW w:w="1350" w:type="dxa"/>
            <w:tcBorders>
              <w:top w:val="single" w:sz="8" w:space="0" w:color="000000"/>
              <w:left w:val="nil"/>
              <w:bottom w:val="single" w:sz="8" w:space="0" w:color="000000"/>
              <w:right w:val="single" w:sz="8" w:space="0" w:color="000000"/>
            </w:tcBorders>
            <w:shd w:val="clear" w:color="auto" w:fill="auto"/>
            <w:vAlign w:val="center"/>
          </w:tcPr>
          <w:p w14:paraId="0A8D322D" w14:textId="77777777" w:rsidR="0031121E" w:rsidRPr="00D654F7" w:rsidRDefault="00B9221C" w:rsidP="001779AD">
            <w:pPr>
              <w:spacing w:after="0" w:line="240" w:lineRule="auto"/>
              <w:jc w:val="right"/>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Employee Retention (Y)</w:t>
            </w:r>
          </w:p>
        </w:tc>
      </w:tr>
      <w:tr w:rsidR="0031121E" w:rsidRPr="00D654F7" w14:paraId="38268102" w14:textId="77777777">
        <w:trPr>
          <w:trHeight w:val="315"/>
          <w:jc w:val="center"/>
        </w:trPr>
        <w:tc>
          <w:tcPr>
            <w:tcW w:w="2805" w:type="dxa"/>
            <w:tcBorders>
              <w:top w:val="nil"/>
              <w:left w:val="single" w:sz="8" w:space="0" w:color="000000"/>
              <w:bottom w:val="single" w:sz="8" w:space="0" w:color="000000"/>
              <w:right w:val="single" w:sz="8" w:space="0" w:color="000000"/>
            </w:tcBorders>
            <w:shd w:val="clear" w:color="auto" w:fill="auto"/>
            <w:vAlign w:val="center"/>
          </w:tcPr>
          <w:p w14:paraId="2924BB30"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Employee Engagement (X1)</w:t>
            </w:r>
          </w:p>
        </w:tc>
        <w:tc>
          <w:tcPr>
            <w:tcW w:w="1530" w:type="dxa"/>
            <w:tcBorders>
              <w:top w:val="nil"/>
              <w:left w:val="nil"/>
              <w:bottom w:val="single" w:sz="8" w:space="0" w:color="000000"/>
              <w:right w:val="single" w:sz="8" w:space="0" w:color="000000"/>
            </w:tcBorders>
            <w:shd w:val="clear" w:color="auto" w:fill="auto"/>
            <w:vAlign w:val="center"/>
          </w:tcPr>
          <w:p w14:paraId="012DE90C"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0.78</w:t>
            </w:r>
          </w:p>
        </w:tc>
        <w:tc>
          <w:tcPr>
            <w:tcW w:w="1275" w:type="dxa"/>
            <w:tcBorders>
              <w:top w:val="nil"/>
              <w:left w:val="nil"/>
              <w:bottom w:val="single" w:sz="8" w:space="0" w:color="000000"/>
              <w:right w:val="single" w:sz="8" w:space="0" w:color="000000"/>
            </w:tcBorders>
            <w:shd w:val="clear" w:color="auto" w:fill="auto"/>
            <w:vAlign w:val="center"/>
          </w:tcPr>
          <w:p w14:paraId="59522535"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c>
          <w:tcPr>
            <w:tcW w:w="1800" w:type="dxa"/>
            <w:tcBorders>
              <w:top w:val="nil"/>
              <w:left w:val="nil"/>
              <w:bottom w:val="single" w:sz="8" w:space="0" w:color="000000"/>
              <w:right w:val="single" w:sz="8" w:space="0" w:color="000000"/>
            </w:tcBorders>
            <w:shd w:val="clear" w:color="auto" w:fill="auto"/>
            <w:vAlign w:val="center"/>
          </w:tcPr>
          <w:p w14:paraId="3F6A56C5"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c>
          <w:tcPr>
            <w:tcW w:w="1350" w:type="dxa"/>
            <w:tcBorders>
              <w:top w:val="nil"/>
              <w:left w:val="nil"/>
              <w:bottom w:val="single" w:sz="8" w:space="0" w:color="000000"/>
              <w:right w:val="single" w:sz="8" w:space="0" w:color="000000"/>
            </w:tcBorders>
            <w:shd w:val="clear" w:color="auto" w:fill="auto"/>
            <w:vAlign w:val="center"/>
          </w:tcPr>
          <w:p w14:paraId="6D8F93D0"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r>
      <w:tr w:rsidR="0031121E" w:rsidRPr="00D654F7" w14:paraId="0D413EAC" w14:textId="77777777">
        <w:trPr>
          <w:trHeight w:val="315"/>
          <w:jc w:val="center"/>
        </w:trPr>
        <w:tc>
          <w:tcPr>
            <w:tcW w:w="2805" w:type="dxa"/>
            <w:tcBorders>
              <w:top w:val="nil"/>
              <w:left w:val="single" w:sz="8" w:space="0" w:color="000000"/>
              <w:bottom w:val="single" w:sz="8" w:space="0" w:color="000000"/>
              <w:right w:val="single" w:sz="8" w:space="0" w:color="000000"/>
            </w:tcBorders>
            <w:shd w:val="clear" w:color="auto" w:fill="auto"/>
            <w:vAlign w:val="center"/>
          </w:tcPr>
          <w:p w14:paraId="382FF9AD"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Meaning of Work (M)</w:t>
            </w:r>
          </w:p>
        </w:tc>
        <w:tc>
          <w:tcPr>
            <w:tcW w:w="1530" w:type="dxa"/>
            <w:tcBorders>
              <w:top w:val="nil"/>
              <w:left w:val="nil"/>
              <w:bottom w:val="single" w:sz="8" w:space="0" w:color="000000"/>
              <w:right w:val="single" w:sz="8" w:space="0" w:color="000000"/>
            </w:tcBorders>
            <w:shd w:val="clear" w:color="auto" w:fill="auto"/>
            <w:vAlign w:val="center"/>
          </w:tcPr>
          <w:p w14:paraId="238A346C"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0.547</w:t>
            </w:r>
          </w:p>
        </w:tc>
        <w:tc>
          <w:tcPr>
            <w:tcW w:w="1275" w:type="dxa"/>
            <w:tcBorders>
              <w:top w:val="nil"/>
              <w:left w:val="nil"/>
              <w:bottom w:val="single" w:sz="8" w:space="0" w:color="000000"/>
              <w:right w:val="single" w:sz="8" w:space="0" w:color="000000"/>
            </w:tcBorders>
            <w:shd w:val="clear" w:color="auto" w:fill="auto"/>
            <w:vAlign w:val="center"/>
          </w:tcPr>
          <w:p w14:paraId="0809CD28"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0.794</w:t>
            </w:r>
          </w:p>
        </w:tc>
        <w:tc>
          <w:tcPr>
            <w:tcW w:w="1800" w:type="dxa"/>
            <w:tcBorders>
              <w:top w:val="nil"/>
              <w:left w:val="nil"/>
              <w:bottom w:val="single" w:sz="8" w:space="0" w:color="000000"/>
              <w:right w:val="single" w:sz="8" w:space="0" w:color="000000"/>
            </w:tcBorders>
            <w:shd w:val="clear" w:color="auto" w:fill="auto"/>
            <w:vAlign w:val="center"/>
          </w:tcPr>
          <w:p w14:paraId="7B103AAA"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c>
          <w:tcPr>
            <w:tcW w:w="1350" w:type="dxa"/>
            <w:tcBorders>
              <w:top w:val="nil"/>
              <w:left w:val="nil"/>
              <w:bottom w:val="single" w:sz="8" w:space="0" w:color="000000"/>
              <w:right w:val="single" w:sz="8" w:space="0" w:color="000000"/>
            </w:tcBorders>
            <w:shd w:val="clear" w:color="auto" w:fill="auto"/>
            <w:vAlign w:val="center"/>
          </w:tcPr>
          <w:p w14:paraId="38A7825F"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r>
      <w:tr w:rsidR="0031121E" w:rsidRPr="00D654F7" w14:paraId="0B8FF8DF" w14:textId="77777777">
        <w:trPr>
          <w:trHeight w:val="315"/>
          <w:jc w:val="center"/>
        </w:trPr>
        <w:tc>
          <w:tcPr>
            <w:tcW w:w="2805" w:type="dxa"/>
            <w:tcBorders>
              <w:top w:val="nil"/>
              <w:left w:val="single" w:sz="8" w:space="0" w:color="000000"/>
              <w:bottom w:val="single" w:sz="8" w:space="0" w:color="000000"/>
              <w:right w:val="single" w:sz="8" w:space="0" w:color="000000"/>
            </w:tcBorders>
            <w:shd w:val="clear" w:color="auto" w:fill="auto"/>
            <w:vAlign w:val="center"/>
          </w:tcPr>
          <w:p w14:paraId="1B0DFCE4"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Perceived Usefulness (X2)</w:t>
            </w:r>
          </w:p>
        </w:tc>
        <w:tc>
          <w:tcPr>
            <w:tcW w:w="1530" w:type="dxa"/>
            <w:tcBorders>
              <w:top w:val="nil"/>
              <w:left w:val="nil"/>
              <w:bottom w:val="single" w:sz="8" w:space="0" w:color="000000"/>
              <w:right w:val="single" w:sz="8" w:space="0" w:color="000000"/>
            </w:tcBorders>
            <w:shd w:val="clear" w:color="auto" w:fill="auto"/>
            <w:vAlign w:val="center"/>
          </w:tcPr>
          <w:p w14:paraId="02AB7758"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0.436</w:t>
            </w:r>
          </w:p>
        </w:tc>
        <w:tc>
          <w:tcPr>
            <w:tcW w:w="1275" w:type="dxa"/>
            <w:tcBorders>
              <w:top w:val="nil"/>
              <w:left w:val="nil"/>
              <w:bottom w:val="single" w:sz="8" w:space="0" w:color="000000"/>
              <w:right w:val="single" w:sz="8" w:space="0" w:color="000000"/>
            </w:tcBorders>
            <w:shd w:val="clear" w:color="auto" w:fill="auto"/>
            <w:vAlign w:val="center"/>
          </w:tcPr>
          <w:p w14:paraId="070E2D82"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0.568</w:t>
            </w:r>
          </w:p>
        </w:tc>
        <w:tc>
          <w:tcPr>
            <w:tcW w:w="1800" w:type="dxa"/>
            <w:tcBorders>
              <w:top w:val="nil"/>
              <w:left w:val="nil"/>
              <w:bottom w:val="single" w:sz="8" w:space="0" w:color="000000"/>
              <w:right w:val="single" w:sz="8" w:space="0" w:color="000000"/>
            </w:tcBorders>
            <w:shd w:val="clear" w:color="auto" w:fill="auto"/>
            <w:vAlign w:val="center"/>
          </w:tcPr>
          <w:p w14:paraId="45F49318"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0.811</w:t>
            </w:r>
          </w:p>
        </w:tc>
        <w:tc>
          <w:tcPr>
            <w:tcW w:w="1350" w:type="dxa"/>
            <w:tcBorders>
              <w:top w:val="nil"/>
              <w:left w:val="nil"/>
              <w:bottom w:val="single" w:sz="8" w:space="0" w:color="000000"/>
              <w:right w:val="single" w:sz="8" w:space="0" w:color="000000"/>
            </w:tcBorders>
            <w:shd w:val="clear" w:color="auto" w:fill="auto"/>
            <w:vAlign w:val="center"/>
          </w:tcPr>
          <w:p w14:paraId="52BBD966"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r>
      <w:tr w:rsidR="0031121E" w:rsidRPr="00D654F7" w14:paraId="4C530F9E" w14:textId="77777777">
        <w:trPr>
          <w:trHeight w:val="315"/>
          <w:jc w:val="center"/>
        </w:trPr>
        <w:tc>
          <w:tcPr>
            <w:tcW w:w="2805" w:type="dxa"/>
            <w:tcBorders>
              <w:top w:val="nil"/>
              <w:left w:val="single" w:sz="8" w:space="0" w:color="000000"/>
              <w:bottom w:val="single" w:sz="8" w:space="0" w:color="000000"/>
              <w:right w:val="single" w:sz="8" w:space="0" w:color="000000"/>
            </w:tcBorders>
            <w:shd w:val="clear" w:color="auto" w:fill="auto"/>
            <w:vAlign w:val="center"/>
          </w:tcPr>
          <w:p w14:paraId="2D4B3C2F"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Employee Retention (Y)</w:t>
            </w:r>
          </w:p>
        </w:tc>
        <w:tc>
          <w:tcPr>
            <w:tcW w:w="1530" w:type="dxa"/>
            <w:tcBorders>
              <w:top w:val="nil"/>
              <w:left w:val="nil"/>
              <w:bottom w:val="single" w:sz="8" w:space="0" w:color="000000"/>
              <w:right w:val="single" w:sz="8" w:space="0" w:color="000000"/>
            </w:tcBorders>
            <w:shd w:val="clear" w:color="auto" w:fill="auto"/>
            <w:vAlign w:val="center"/>
          </w:tcPr>
          <w:p w14:paraId="3A50A141"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0.639</w:t>
            </w:r>
          </w:p>
        </w:tc>
        <w:tc>
          <w:tcPr>
            <w:tcW w:w="1275" w:type="dxa"/>
            <w:tcBorders>
              <w:top w:val="nil"/>
              <w:left w:val="nil"/>
              <w:bottom w:val="single" w:sz="8" w:space="0" w:color="000000"/>
              <w:right w:val="single" w:sz="8" w:space="0" w:color="000000"/>
            </w:tcBorders>
            <w:shd w:val="clear" w:color="auto" w:fill="auto"/>
            <w:vAlign w:val="center"/>
          </w:tcPr>
          <w:p w14:paraId="42470DB5"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0.681</w:t>
            </w:r>
          </w:p>
        </w:tc>
        <w:tc>
          <w:tcPr>
            <w:tcW w:w="1800" w:type="dxa"/>
            <w:tcBorders>
              <w:top w:val="nil"/>
              <w:left w:val="nil"/>
              <w:bottom w:val="single" w:sz="8" w:space="0" w:color="000000"/>
              <w:right w:val="single" w:sz="8" w:space="0" w:color="000000"/>
            </w:tcBorders>
            <w:shd w:val="clear" w:color="auto" w:fill="auto"/>
            <w:vAlign w:val="center"/>
          </w:tcPr>
          <w:p w14:paraId="3AE5C374"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0.686</w:t>
            </w:r>
          </w:p>
        </w:tc>
        <w:tc>
          <w:tcPr>
            <w:tcW w:w="1350" w:type="dxa"/>
            <w:tcBorders>
              <w:top w:val="nil"/>
              <w:left w:val="nil"/>
              <w:bottom w:val="single" w:sz="8" w:space="0" w:color="000000"/>
              <w:right w:val="single" w:sz="8" w:space="0" w:color="000000"/>
            </w:tcBorders>
            <w:shd w:val="clear" w:color="auto" w:fill="auto"/>
            <w:vAlign w:val="center"/>
          </w:tcPr>
          <w:p w14:paraId="1B8805CB"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0.814</w:t>
            </w:r>
          </w:p>
        </w:tc>
      </w:tr>
    </w:tbl>
    <w:p w14:paraId="298AF631" w14:textId="77777777" w:rsidR="0031121E" w:rsidRPr="00D654F7" w:rsidRDefault="00B9221C" w:rsidP="001779AD">
      <w:pPr>
        <w:spacing w:after="0" w:line="240" w:lineRule="auto"/>
        <w:jc w:val="center"/>
        <w:rPr>
          <w:rFonts w:ascii="Book Antiqua" w:eastAsia="Times New Roman" w:hAnsi="Book Antiqua" w:cs="Times New Roman"/>
          <w:sz w:val="24"/>
          <w:szCs w:val="24"/>
        </w:rPr>
      </w:pPr>
      <w:r w:rsidRPr="00D654F7">
        <w:rPr>
          <w:rFonts w:ascii="Book Antiqua" w:eastAsia="Times New Roman" w:hAnsi="Book Antiqua" w:cs="Times New Roman"/>
          <w:sz w:val="24"/>
          <w:szCs w:val="24"/>
        </w:rPr>
        <w:t>Source: Processed data, 2025</w:t>
      </w:r>
    </w:p>
    <w:p w14:paraId="53138ED1" w14:textId="77777777" w:rsidR="0031121E" w:rsidRPr="00D654F7" w:rsidRDefault="001779AD" w:rsidP="001779AD">
      <w:pPr>
        <w:pBdr>
          <w:top w:val="nil"/>
          <w:left w:val="nil"/>
          <w:bottom w:val="nil"/>
          <w:right w:val="nil"/>
          <w:between w:val="nil"/>
        </w:pBdr>
        <w:spacing w:after="0" w:line="240" w:lineRule="auto"/>
        <w:ind w:firstLine="567"/>
        <w:jc w:val="both"/>
        <w:rPr>
          <w:rFonts w:ascii="Book Antiqua" w:eastAsia="Times New Roman" w:hAnsi="Book Antiqua" w:cs="Times New Roman"/>
          <w:color w:val="000000"/>
          <w:sz w:val="24"/>
          <w:szCs w:val="24"/>
        </w:rPr>
      </w:pPr>
      <w:r w:rsidRPr="001779AD">
        <w:rPr>
          <w:rFonts w:ascii="Book Antiqua" w:eastAsia="Times New Roman" w:hAnsi="Book Antiqua" w:cs="Times New Roman"/>
          <w:color w:val="000000"/>
          <w:sz w:val="24"/>
          <w:szCs w:val="24"/>
        </w:rPr>
        <w:t>The table shows the results of discriminant validity testing using the Fornell–Larcker criteria, where the square root of the Average Variance Extracted (AVE) value of each construct is expected to be greater than the correlation with other constructs. Based on the test results, the Employee Engagement construct (X1) has an √AVE value of 0.78, which is higher than its correlation with other constructs such as Meaning of Work (0.547), Perceived Usefulness (0.436), and Employee Retention (0.639). Likewise, the Meaning of Work construct (M) with √AVE 0.794 is higher than the correlation with other constructs (Employee Engagement 0.547, Perceived Usefulness 0.568, Employee Retention 0.681). The Perceived Usefulness construct (X2) has an √AVE of 0.811, higher than the correlation with other constructs, and Employee Retention (Y) with an √AVE of 0.814 higher than its correlation value. These results indicate that all constructs in the model can be clearly distinguished, meeting the Fornell–Larcker discriminant validity criteria well. In addition to using the Fornell–Larcker criteria, discriminant validity testing is also carried out through cross-loading analysis. In this method, an indicator is declared to have discriminant validity if the outer loading value for the construct it represents is higher than the loading value for other constructs. Details of the cross-loading test results are presented in the following table.</w:t>
      </w:r>
    </w:p>
    <w:p w14:paraId="305AB9AD" w14:textId="77777777" w:rsidR="0031121E" w:rsidRPr="00D654F7" w:rsidRDefault="00B9221C" w:rsidP="001779AD">
      <w:pPr>
        <w:pBdr>
          <w:top w:val="nil"/>
          <w:left w:val="nil"/>
          <w:bottom w:val="nil"/>
          <w:right w:val="nil"/>
          <w:between w:val="nil"/>
        </w:pBdr>
        <w:spacing w:after="0" w:line="240" w:lineRule="auto"/>
        <w:jc w:val="center"/>
        <w:rPr>
          <w:rFonts w:ascii="Book Antiqua" w:eastAsia="Times New Roman" w:hAnsi="Book Antiqua" w:cs="Times New Roman"/>
          <w:color w:val="000000"/>
          <w:sz w:val="24"/>
          <w:szCs w:val="24"/>
        </w:rPr>
      </w:pPr>
      <w:bookmarkStart w:id="10" w:name="_heading=h.dihzvg8yacqy" w:colFirst="0" w:colLast="0"/>
      <w:bookmarkEnd w:id="10"/>
      <w:r w:rsidRPr="00D654F7">
        <w:rPr>
          <w:rFonts w:ascii="Book Antiqua" w:eastAsia="Times New Roman" w:hAnsi="Book Antiqua" w:cs="Times New Roman"/>
          <w:b/>
          <w:bCs/>
          <w:color w:val="000000"/>
          <w:sz w:val="24"/>
          <w:szCs w:val="24"/>
        </w:rPr>
        <w:t>Table 9. Cross Loading</w:t>
      </w:r>
    </w:p>
    <w:tbl>
      <w:tblPr>
        <w:tblStyle w:val="a7"/>
        <w:tblW w:w="7935" w:type="dxa"/>
        <w:jc w:val="center"/>
        <w:tblLayout w:type="fixed"/>
        <w:tblLook w:val="0400" w:firstRow="0" w:lastRow="0" w:firstColumn="0" w:lastColumn="0" w:noHBand="0" w:noVBand="1"/>
      </w:tblPr>
      <w:tblGrid>
        <w:gridCol w:w="960"/>
        <w:gridCol w:w="1530"/>
        <w:gridCol w:w="2160"/>
        <w:gridCol w:w="1770"/>
        <w:gridCol w:w="1515"/>
      </w:tblGrid>
      <w:tr w:rsidR="0031121E" w:rsidRPr="00D654F7" w14:paraId="103223B5" w14:textId="77777777">
        <w:trPr>
          <w:trHeight w:val="315"/>
          <w:jc w:val="center"/>
        </w:trPr>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391DBD8" w14:textId="77777777" w:rsidR="0031121E" w:rsidRPr="00D654F7" w:rsidRDefault="0031121E" w:rsidP="001779AD">
            <w:pPr>
              <w:spacing w:after="0" w:line="240" w:lineRule="auto"/>
              <w:rPr>
                <w:rFonts w:ascii="Book Antiqua" w:eastAsia="Times New Roman" w:hAnsi="Book Antiqua" w:cs="Times New Roman"/>
                <w:b/>
                <w:bCs/>
                <w:color w:val="000000"/>
                <w:sz w:val="24"/>
                <w:szCs w:val="24"/>
              </w:rPr>
            </w:pPr>
          </w:p>
        </w:tc>
        <w:tc>
          <w:tcPr>
            <w:tcW w:w="1530" w:type="dxa"/>
            <w:tcBorders>
              <w:top w:val="single" w:sz="8" w:space="0" w:color="000000"/>
              <w:left w:val="nil"/>
              <w:bottom w:val="single" w:sz="8" w:space="0" w:color="000000"/>
              <w:right w:val="single" w:sz="8" w:space="0" w:color="000000"/>
            </w:tcBorders>
            <w:shd w:val="clear" w:color="auto" w:fill="auto"/>
            <w:vAlign w:val="center"/>
          </w:tcPr>
          <w:p w14:paraId="2DABB793" w14:textId="77777777" w:rsidR="0031121E" w:rsidRPr="00D654F7" w:rsidRDefault="00B9221C" w:rsidP="001779AD">
            <w:pPr>
              <w:spacing w:after="0" w:line="240" w:lineRule="auto"/>
              <w:jc w:val="right"/>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Employee Engagement (X1)</w:t>
            </w:r>
          </w:p>
        </w:tc>
        <w:tc>
          <w:tcPr>
            <w:tcW w:w="2160" w:type="dxa"/>
            <w:tcBorders>
              <w:top w:val="single" w:sz="8" w:space="0" w:color="000000"/>
              <w:left w:val="nil"/>
              <w:bottom w:val="single" w:sz="8" w:space="0" w:color="000000"/>
              <w:right w:val="single" w:sz="8" w:space="0" w:color="000000"/>
            </w:tcBorders>
            <w:shd w:val="clear" w:color="auto" w:fill="auto"/>
            <w:vAlign w:val="center"/>
          </w:tcPr>
          <w:p w14:paraId="2FAE4E88" w14:textId="77777777" w:rsidR="0031121E" w:rsidRPr="00D654F7" w:rsidRDefault="00B9221C" w:rsidP="001779AD">
            <w:pPr>
              <w:spacing w:after="0" w:line="240" w:lineRule="auto"/>
              <w:jc w:val="right"/>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Perceived Usefulness (X2)</w:t>
            </w:r>
          </w:p>
        </w:tc>
        <w:tc>
          <w:tcPr>
            <w:tcW w:w="1770" w:type="dxa"/>
            <w:tcBorders>
              <w:top w:val="single" w:sz="8" w:space="0" w:color="000000"/>
              <w:left w:val="nil"/>
              <w:bottom w:val="single" w:sz="8" w:space="0" w:color="000000"/>
              <w:right w:val="single" w:sz="8" w:space="0" w:color="000000"/>
            </w:tcBorders>
            <w:shd w:val="clear" w:color="auto" w:fill="auto"/>
            <w:vAlign w:val="center"/>
          </w:tcPr>
          <w:p w14:paraId="4D077FDD" w14:textId="77777777" w:rsidR="0031121E" w:rsidRPr="00D654F7" w:rsidRDefault="00B9221C" w:rsidP="001779AD">
            <w:pPr>
              <w:spacing w:after="0" w:line="240" w:lineRule="auto"/>
              <w:jc w:val="right"/>
              <w:rPr>
                <w:rFonts w:ascii="Book Antiqua" w:eastAsia="Times New Roman" w:hAnsi="Book Antiqua" w:cs="Times New Roman"/>
                <w:b/>
                <w:bCs/>
                <w:sz w:val="24"/>
                <w:szCs w:val="24"/>
              </w:rPr>
            </w:pPr>
            <w:r w:rsidRPr="00D654F7">
              <w:rPr>
                <w:rFonts w:ascii="Book Antiqua" w:eastAsia="Times New Roman" w:hAnsi="Book Antiqua" w:cs="Times New Roman"/>
                <w:b/>
                <w:bCs/>
                <w:sz w:val="24"/>
                <w:szCs w:val="24"/>
              </w:rPr>
              <w:t>Meaning of Work (M)</w:t>
            </w:r>
          </w:p>
        </w:tc>
        <w:tc>
          <w:tcPr>
            <w:tcW w:w="1515" w:type="dxa"/>
            <w:tcBorders>
              <w:top w:val="single" w:sz="8" w:space="0" w:color="000000"/>
              <w:left w:val="nil"/>
              <w:bottom w:val="single" w:sz="8" w:space="0" w:color="000000"/>
              <w:right w:val="single" w:sz="8" w:space="0" w:color="000000"/>
            </w:tcBorders>
            <w:shd w:val="clear" w:color="auto" w:fill="auto"/>
            <w:vAlign w:val="center"/>
          </w:tcPr>
          <w:p w14:paraId="33C10D90" w14:textId="77777777" w:rsidR="0031121E" w:rsidRPr="00D654F7" w:rsidRDefault="00B9221C" w:rsidP="001779AD">
            <w:pPr>
              <w:spacing w:after="0" w:line="240" w:lineRule="auto"/>
              <w:jc w:val="right"/>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Employee Retention (Y)</w:t>
            </w:r>
          </w:p>
        </w:tc>
      </w:tr>
      <w:tr w:rsidR="0031121E" w:rsidRPr="00D654F7" w14:paraId="515D543A" w14:textId="77777777">
        <w:trPr>
          <w:trHeight w:val="315"/>
          <w:jc w:val="center"/>
        </w:trPr>
        <w:tc>
          <w:tcPr>
            <w:tcW w:w="960" w:type="dxa"/>
            <w:tcBorders>
              <w:top w:val="nil"/>
              <w:left w:val="single" w:sz="8" w:space="0" w:color="000000"/>
              <w:bottom w:val="single" w:sz="8" w:space="0" w:color="000000"/>
              <w:right w:val="single" w:sz="8" w:space="0" w:color="000000"/>
            </w:tcBorders>
            <w:shd w:val="clear" w:color="auto" w:fill="auto"/>
            <w:vAlign w:val="center"/>
          </w:tcPr>
          <w:p w14:paraId="6E909AC9"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X1.1</w:t>
            </w:r>
          </w:p>
        </w:tc>
        <w:tc>
          <w:tcPr>
            <w:tcW w:w="1530" w:type="dxa"/>
            <w:tcBorders>
              <w:top w:val="nil"/>
              <w:left w:val="nil"/>
              <w:bottom w:val="single" w:sz="8" w:space="0" w:color="000000"/>
              <w:right w:val="single" w:sz="8" w:space="0" w:color="000000"/>
            </w:tcBorders>
            <w:shd w:val="clear" w:color="auto" w:fill="auto"/>
            <w:vAlign w:val="center"/>
          </w:tcPr>
          <w:p w14:paraId="3C8F0E86"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0.753</w:t>
            </w:r>
          </w:p>
        </w:tc>
        <w:tc>
          <w:tcPr>
            <w:tcW w:w="2160" w:type="dxa"/>
            <w:tcBorders>
              <w:top w:val="nil"/>
              <w:left w:val="nil"/>
              <w:bottom w:val="single" w:sz="8" w:space="0" w:color="000000"/>
              <w:right w:val="single" w:sz="8" w:space="0" w:color="000000"/>
            </w:tcBorders>
            <w:shd w:val="clear" w:color="auto" w:fill="auto"/>
            <w:vAlign w:val="center"/>
          </w:tcPr>
          <w:p w14:paraId="572D0E1C"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0.326</w:t>
            </w:r>
          </w:p>
        </w:tc>
        <w:tc>
          <w:tcPr>
            <w:tcW w:w="1770" w:type="dxa"/>
            <w:tcBorders>
              <w:top w:val="nil"/>
              <w:left w:val="nil"/>
              <w:bottom w:val="single" w:sz="8" w:space="0" w:color="000000"/>
              <w:right w:val="single" w:sz="8" w:space="0" w:color="000000"/>
            </w:tcBorders>
            <w:shd w:val="clear" w:color="auto" w:fill="auto"/>
            <w:vAlign w:val="center"/>
          </w:tcPr>
          <w:p w14:paraId="7683236E" w14:textId="77777777" w:rsidR="0031121E" w:rsidRPr="00D654F7" w:rsidRDefault="00B9221C" w:rsidP="001779AD">
            <w:pPr>
              <w:spacing w:after="0" w:line="240" w:lineRule="auto"/>
              <w:jc w:val="right"/>
              <w:rPr>
                <w:rFonts w:ascii="Book Antiqua" w:eastAsia="Times New Roman" w:hAnsi="Book Antiqua" w:cs="Times New Roman"/>
                <w:sz w:val="24"/>
                <w:szCs w:val="24"/>
              </w:rPr>
            </w:pPr>
            <w:r w:rsidRPr="00D654F7">
              <w:rPr>
                <w:rFonts w:ascii="Book Antiqua" w:eastAsia="Times New Roman" w:hAnsi="Book Antiqua" w:cs="Times New Roman"/>
                <w:sz w:val="24"/>
                <w:szCs w:val="24"/>
              </w:rPr>
              <w:t>0.404</w:t>
            </w:r>
          </w:p>
        </w:tc>
        <w:tc>
          <w:tcPr>
            <w:tcW w:w="1515" w:type="dxa"/>
            <w:tcBorders>
              <w:top w:val="nil"/>
              <w:left w:val="nil"/>
              <w:bottom w:val="single" w:sz="8" w:space="0" w:color="000000"/>
              <w:right w:val="single" w:sz="8" w:space="0" w:color="000000"/>
            </w:tcBorders>
            <w:shd w:val="clear" w:color="auto" w:fill="auto"/>
            <w:vAlign w:val="center"/>
          </w:tcPr>
          <w:p w14:paraId="1FF33C4F"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0.555</w:t>
            </w:r>
          </w:p>
        </w:tc>
      </w:tr>
      <w:tr w:rsidR="0031121E" w:rsidRPr="00D654F7" w14:paraId="153A7EA1" w14:textId="77777777">
        <w:trPr>
          <w:trHeight w:val="315"/>
          <w:jc w:val="center"/>
        </w:trPr>
        <w:tc>
          <w:tcPr>
            <w:tcW w:w="960" w:type="dxa"/>
            <w:tcBorders>
              <w:top w:val="nil"/>
              <w:left w:val="single" w:sz="8" w:space="0" w:color="000000"/>
              <w:bottom w:val="single" w:sz="8" w:space="0" w:color="000000"/>
              <w:right w:val="single" w:sz="8" w:space="0" w:color="000000"/>
            </w:tcBorders>
            <w:shd w:val="clear" w:color="auto" w:fill="auto"/>
            <w:vAlign w:val="center"/>
          </w:tcPr>
          <w:p w14:paraId="04751163"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X1.2</w:t>
            </w:r>
          </w:p>
        </w:tc>
        <w:tc>
          <w:tcPr>
            <w:tcW w:w="1530" w:type="dxa"/>
            <w:tcBorders>
              <w:top w:val="nil"/>
              <w:left w:val="nil"/>
              <w:bottom w:val="single" w:sz="8" w:space="0" w:color="000000"/>
              <w:right w:val="single" w:sz="8" w:space="0" w:color="000000"/>
            </w:tcBorders>
            <w:shd w:val="clear" w:color="auto" w:fill="auto"/>
            <w:vAlign w:val="center"/>
          </w:tcPr>
          <w:p w14:paraId="1A28AE0D"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0.778</w:t>
            </w:r>
          </w:p>
        </w:tc>
        <w:tc>
          <w:tcPr>
            <w:tcW w:w="2160" w:type="dxa"/>
            <w:tcBorders>
              <w:top w:val="nil"/>
              <w:left w:val="nil"/>
              <w:bottom w:val="single" w:sz="8" w:space="0" w:color="000000"/>
              <w:right w:val="single" w:sz="8" w:space="0" w:color="000000"/>
            </w:tcBorders>
            <w:shd w:val="clear" w:color="auto" w:fill="auto"/>
            <w:vAlign w:val="center"/>
          </w:tcPr>
          <w:p w14:paraId="25A9ED36"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0.323</w:t>
            </w:r>
          </w:p>
        </w:tc>
        <w:tc>
          <w:tcPr>
            <w:tcW w:w="1770" w:type="dxa"/>
            <w:tcBorders>
              <w:top w:val="nil"/>
              <w:left w:val="nil"/>
              <w:bottom w:val="single" w:sz="8" w:space="0" w:color="000000"/>
              <w:right w:val="single" w:sz="8" w:space="0" w:color="000000"/>
            </w:tcBorders>
            <w:shd w:val="clear" w:color="auto" w:fill="auto"/>
            <w:vAlign w:val="center"/>
          </w:tcPr>
          <w:p w14:paraId="02FDE4D9" w14:textId="77777777" w:rsidR="0031121E" w:rsidRPr="00D654F7" w:rsidRDefault="00B9221C" w:rsidP="001779AD">
            <w:pPr>
              <w:spacing w:after="0" w:line="240" w:lineRule="auto"/>
              <w:jc w:val="right"/>
              <w:rPr>
                <w:rFonts w:ascii="Book Antiqua" w:eastAsia="Times New Roman" w:hAnsi="Book Antiqua" w:cs="Times New Roman"/>
                <w:sz w:val="24"/>
                <w:szCs w:val="24"/>
              </w:rPr>
            </w:pPr>
            <w:r w:rsidRPr="00D654F7">
              <w:rPr>
                <w:rFonts w:ascii="Book Antiqua" w:eastAsia="Times New Roman" w:hAnsi="Book Antiqua" w:cs="Times New Roman"/>
                <w:sz w:val="24"/>
                <w:szCs w:val="24"/>
              </w:rPr>
              <w:t>0.426</w:t>
            </w:r>
          </w:p>
        </w:tc>
        <w:tc>
          <w:tcPr>
            <w:tcW w:w="1515" w:type="dxa"/>
            <w:tcBorders>
              <w:top w:val="nil"/>
              <w:left w:val="nil"/>
              <w:bottom w:val="single" w:sz="8" w:space="0" w:color="000000"/>
              <w:right w:val="single" w:sz="8" w:space="0" w:color="000000"/>
            </w:tcBorders>
            <w:shd w:val="clear" w:color="auto" w:fill="auto"/>
            <w:vAlign w:val="center"/>
          </w:tcPr>
          <w:p w14:paraId="6140FD18"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0.482</w:t>
            </w:r>
          </w:p>
        </w:tc>
      </w:tr>
      <w:tr w:rsidR="0031121E" w:rsidRPr="00D654F7" w14:paraId="68D5F5DF" w14:textId="77777777">
        <w:trPr>
          <w:trHeight w:val="315"/>
          <w:jc w:val="center"/>
        </w:trPr>
        <w:tc>
          <w:tcPr>
            <w:tcW w:w="960" w:type="dxa"/>
            <w:tcBorders>
              <w:top w:val="nil"/>
              <w:left w:val="single" w:sz="8" w:space="0" w:color="000000"/>
              <w:bottom w:val="single" w:sz="8" w:space="0" w:color="000000"/>
              <w:right w:val="single" w:sz="8" w:space="0" w:color="000000"/>
            </w:tcBorders>
            <w:shd w:val="clear" w:color="auto" w:fill="auto"/>
            <w:vAlign w:val="center"/>
          </w:tcPr>
          <w:p w14:paraId="0018A91B"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X1.3</w:t>
            </w:r>
          </w:p>
        </w:tc>
        <w:tc>
          <w:tcPr>
            <w:tcW w:w="1530" w:type="dxa"/>
            <w:tcBorders>
              <w:top w:val="nil"/>
              <w:left w:val="nil"/>
              <w:bottom w:val="single" w:sz="8" w:space="0" w:color="000000"/>
              <w:right w:val="single" w:sz="8" w:space="0" w:color="000000"/>
            </w:tcBorders>
            <w:shd w:val="clear" w:color="auto" w:fill="auto"/>
            <w:vAlign w:val="center"/>
          </w:tcPr>
          <w:p w14:paraId="4D1C1047"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0.772</w:t>
            </w:r>
          </w:p>
        </w:tc>
        <w:tc>
          <w:tcPr>
            <w:tcW w:w="2160" w:type="dxa"/>
            <w:tcBorders>
              <w:top w:val="nil"/>
              <w:left w:val="nil"/>
              <w:bottom w:val="single" w:sz="8" w:space="0" w:color="000000"/>
              <w:right w:val="single" w:sz="8" w:space="0" w:color="000000"/>
            </w:tcBorders>
            <w:shd w:val="clear" w:color="auto" w:fill="auto"/>
            <w:vAlign w:val="center"/>
          </w:tcPr>
          <w:p w14:paraId="48A958B9"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0.361</w:t>
            </w:r>
          </w:p>
        </w:tc>
        <w:tc>
          <w:tcPr>
            <w:tcW w:w="1770" w:type="dxa"/>
            <w:tcBorders>
              <w:top w:val="nil"/>
              <w:left w:val="nil"/>
              <w:bottom w:val="single" w:sz="8" w:space="0" w:color="000000"/>
              <w:right w:val="single" w:sz="8" w:space="0" w:color="000000"/>
            </w:tcBorders>
            <w:shd w:val="clear" w:color="auto" w:fill="auto"/>
            <w:vAlign w:val="center"/>
          </w:tcPr>
          <w:p w14:paraId="23BD8C06" w14:textId="77777777" w:rsidR="0031121E" w:rsidRPr="00D654F7" w:rsidRDefault="00B9221C" w:rsidP="001779AD">
            <w:pPr>
              <w:spacing w:after="0" w:line="240" w:lineRule="auto"/>
              <w:jc w:val="right"/>
              <w:rPr>
                <w:rFonts w:ascii="Book Antiqua" w:eastAsia="Times New Roman" w:hAnsi="Book Antiqua" w:cs="Times New Roman"/>
                <w:sz w:val="24"/>
                <w:szCs w:val="24"/>
              </w:rPr>
            </w:pPr>
            <w:r w:rsidRPr="00D654F7">
              <w:rPr>
                <w:rFonts w:ascii="Book Antiqua" w:eastAsia="Times New Roman" w:hAnsi="Book Antiqua" w:cs="Times New Roman"/>
                <w:sz w:val="24"/>
                <w:szCs w:val="24"/>
              </w:rPr>
              <w:t>0.445</w:t>
            </w:r>
          </w:p>
        </w:tc>
        <w:tc>
          <w:tcPr>
            <w:tcW w:w="1515" w:type="dxa"/>
            <w:tcBorders>
              <w:top w:val="nil"/>
              <w:left w:val="nil"/>
              <w:bottom w:val="single" w:sz="8" w:space="0" w:color="000000"/>
              <w:right w:val="single" w:sz="8" w:space="0" w:color="000000"/>
            </w:tcBorders>
            <w:shd w:val="clear" w:color="auto" w:fill="auto"/>
            <w:vAlign w:val="center"/>
          </w:tcPr>
          <w:p w14:paraId="39B17B5A"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0.484</w:t>
            </w:r>
          </w:p>
        </w:tc>
      </w:tr>
      <w:tr w:rsidR="0031121E" w:rsidRPr="00D654F7" w14:paraId="4BBB6C3C" w14:textId="77777777">
        <w:trPr>
          <w:trHeight w:val="315"/>
          <w:jc w:val="center"/>
        </w:trPr>
        <w:tc>
          <w:tcPr>
            <w:tcW w:w="960" w:type="dxa"/>
            <w:tcBorders>
              <w:top w:val="nil"/>
              <w:left w:val="single" w:sz="8" w:space="0" w:color="000000"/>
              <w:bottom w:val="single" w:sz="8" w:space="0" w:color="000000"/>
              <w:right w:val="single" w:sz="8" w:space="0" w:color="000000"/>
            </w:tcBorders>
            <w:shd w:val="clear" w:color="auto" w:fill="auto"/>
            <w:vAlign w:val="center"/>
          </w:tcPr>
          <w:p w14:paraId="73466578"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X1.4</w:t>
            </w:r>
          </w:p>
        </w:tc>
        <w:tc>
          <w:tcPr>
            <w:tcW w:w="1530" w:type="dxa"/>
            <w:tcBorders>
              <w:top w:val="nil"/>
              <w:left w:val="nil"/>
              <w:bottom w:val="single" w:sz="8" w:space="0" w:color="000000"/>
              <w:right w:val="single" w:sz="8" w:space="0" w:color="000000"/>
            </w:tcBorders>
            <w:shd w:val="clear" w:color="auto" w:fill="auto"/>
            <w:vAlign w:val="center"/>
          </w:tcPr>
          <w:p w14:paraId="6EAF974A"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0.817</w:t>
            </w:r>
          </w:p>
        </w:tc>
        <w:tc>
          <w:tcPr>
            <w:tcW w:w="2160" w:type="dxa"/>
            <w:tcBorders>
              <w:top w:val="nil"/>
              <w:left w:val="nil"/>
              <w:bottom w:val="single" w:sz="8" w:space="0" w:color="000000"/>
              <w:right w:val="single" w:sz="8" w:space="0" w:color="000000"/>
            </w:tcBorders>
            <w:shd w:val="clear" w:color="auto" w:fill="auto"/>
            <w:vAlign w:val="center"/>
          </w:tcPr>
          <w:p w14:paraId="614BE4E5"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0.351</w:t>
            </w:r>
          </w:p>
        </w:tc>
        <w:tc>
          <w:tcPr>
            <w:tcW w:w="1770" w:type="dxa"/>
            <w:tcBorders>
              <w:top w:val="nil"/>
              <w:left w:val="nil"/>
              <w:bottom w:val="single" w:sz="8" w:space="0" w:color="000000"/>
              <w:right w:val="single" w:sz="8" w:space="0" w:color="000000"/>
            </w:tcBorders>
            <w:shd w:val="clear" w:color="auto" w:fill="auto"/>
            <w:vAlign w:val="center"/>
          </w:tcPr>
          <w:p w14:paraId="37991E80" w14:textId="77777777" w:rsidR="0031121E" w:rsidRPr="00D654F7" w:rsidRDefault="00B9221C" w:rsidP="001779AD">
            <w:pPr>
              <w:spacing w:after="0" w:line="240" w:lineRule="auto"/>
              <w:jc w:val="right"/>
              <w:rPr>
                <w:rFonts w:ascii="Book Antiqua" w:eastAsia="Times New Roman" w:hAnsi="Book Antiqua" w:cs="Times New Roman"/>
                <w:sz w:val="24"/>
                <w:szCs w:val="24"/>
              </w:rPr>
            </w:pPr>
            <w:r w:rsidRPr="00D654F7">
              <w:rPr>
                <w:rFonts w:ascii="Book Antiqua" w:eastAsia="Times New Roman" w:hAnsi="Book Antiqua" w:cs="Times New Roman"/>
                <w:sz w:val="24"/>
                <w:szCs w:val="24"/>
              </w:rPr>
              <w:t>0.43</w:t>
            </w:r>
          </w:p>
        </w:tc>
        <w:tc>
          <w:tcPr>
            <w:tcW w:w="1515" w:type="dxa"/>
            <w:tcBorders>
              <w:top w:val="nil"/>
              <w:left w:val="nil"/>
              <w:bottom w:val="single" w:sz="8" w:space="0" w:color="000000"/>
              <w:right w:val="single" w:sz="8" w:space="0" w:color="000000"/>
            </w:tcBorders>
            <w:shd w:val="clear" w:color="auto" w:fill="auto"/>
            <w:vAlign w:val="center"/>
          </w:tcPr>
          <w:p w14:paraId="0833F144"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0.469</w:t>
            </w:r>
          </w:p>
        </w:tc>
      </w:tr>
      <w:tr w:rsidR="0031121E" w:rsidRPr="00D654F7" w14:paraId="19EF3BC0" w14:textId="77777777">
        <w:trPr>
          <w:trHeight w:val="315"/>
          <w:jc w:val="center"/>
        </w:trPr>
        <w:tc>
          <w:tcPr>
            <w:tcW w:w="960" w:type="dxa"/>
            <w:tcBorders>
              <w:top w:val="nil"/>
              <w:left w:val="single" w:sz="8" w:space="0" w:color="000000"/>
              <w:bottom w:val="single" w:sz="8" w:space="0" w:color="000000"/>
              <w:right w:val="single" w:sz="8" w:space="0" w:color="000000"/>
            </w:tcBorders>
            <w:shd w:val="clear" w:color="auto" w:fill="auto"/>
            <w:vAlign w:val="center"/>
          </w:tcPr>
          <w:p w14:paraId="70340BEA"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X2.1</w:t>
            </w:r>
          </w:p>
        </w:tc>
        <w:tc>
          <w:tcPr>
            <w:tcW w:w="1530" w:type="dxa"/>
            <w:tcBorders>
              <w:top w:val="nil"/>
              <w:left w:val="nil"/>
              <w:bottom w:val="single" w:sz="8" w:space="0" w:color="000000"/>
              <w:right w:val="single" w:sz="8" w:space="0" w:color="000000"/>
            </w:tcBorders>
            <w:shd w:val="clear" w:color="auto" w:fill="auto"/>
            <w:vAlign w:val="center"/>
          </w:tcPr>
          <w:p w14:paraId="17BA1336"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0.332</w:t>
            </w:r>
          </w:p>
        </w:tc>
        <w:tc>
          <w:tcPr>
            <w:tcW w:w="2160" w:type="dxa"/>
            <w:tcBorders>
              <w:top w:val="nil"/>
              <w:left w:val="nil"/>
              <w:bottom w:val="single" w:sz="8" w:space="0" w:color="000000"/>
              <w:right w:val="single" w:sz="8" w:space="0" w:color="000000"/>
            </w:tcBorders>
            <w:shd w:val="clear" w:color="auto" w:fill="auto"/>
            <w:vAlign w:val="center"/>
          </w:tcPr>
          <w:p w14:paraId="587FB431"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0.834</w:t>
            </w:r>
          </w:p>
        </w:tc>
        <w:tc>
          <w:tcPr>
            <w:tcW w:w="1770" w:type="dxa"/>
            <w:tcBorders>
              <w:top w:val="nil"/>
              <w:left w:val="nil"/>
              <w:bottom w:val="single" w:sz="8" w:space="0" w:color="000000"/>
              <w:right w:val="single" w:sz="8" w:space="0" w:color="000000"/>
            </w:tcBorders>
            <w:shd w:val="clear" w:color="auto" w:fill="auto"/>
            <w:vAlign w:val="center"/>
          </w:tcPr>
          <w:p w14:paraId="363090C5" w14:textId="77777777" w:rsidR="0031121E" w:rsidRPr="00D654F7" w:rsidRDefault="00B9221C" w:rsidP="001779AD">
            <w:pPr>
              <w:spacing w:after="0" w:line="240" w:lineRule="auto"/>
              <w:jc w:val="right"/>
              <w:rPr>
                <w:rFonts w:ascii="Book Antiqua" w:eastAsia="Times New Roman" w:hAnsi="Book Antiqua" w:cs="Times New Roman"/>
                <w:sz w:val="24"/>
                <w:szCs w:val="24"/>
              </w:rPr>
            </w:pPr>
            <w:r w:rsidRPr="00D654F7">
              <w:rPr>
                <w:rFonts w:ascii="Book Antiqua" w:eastAsia="Times New Roman" w:hAnsi="Book Antiqua" w:cs="Times New Roman"/>
                <w:sz w:val="24"/>
                <w:szCs w:val="24"/>
              </w:rPr>
              <w:t>0.446</w:t>
            </w:r>
          </w:p>
        </w:tc>
        <w:tc>
          <w:tcPr>
            <w:tcW w:w="1515" w:type="dxa"/>
            <w:tcBorders>
              <w:top w:val="nil"/>
              <w:left w:val="nil"/>
              <w:bottom w:val="single" w:sz="8" w:space="0" w:color="000000"/>
              <w:right w:val="single" w:sz="8" w:space="0" w:color="000000"/>
            </w:tcBorders>
            <w:shd w:val="clear" w:color="auto" w:fill="auto"/>
            <w:vAlign w:val="center"/>
          </w:tcPr>
          <w:p w14:paraId="002EAEA9"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0.553</w:t>
            </w:r>
          </w:p>
        </w:tc>
      </w:tr>
      <w:tr w:rsidR="0031121E" w:rsidRPr="00D654F7" w14:paraId="05D3D330" w14:textId="77777777">
        <w:trPr>
          <w:trHeight w:val="315"/>
          <w:jc w:val="center"/>
        </w:trPr>
        <w:tc>
          <w:tcPr>
            <w:tcW w:w="960" w:type="dxa"/>
            <w:tcBorders>
              <w:top w:val="nil"/>
              <w:left w:val="single" w:sz="8" w:space="0" w:color="000000"/>
              <w:bottom w:val="single" w:sz="8" w:space="0" w:color="000000"/>
              <w:right w:val="single" w:sz="8" w:space="0" w:color="000000"/>
            </w:tcBorders>
            <w:shd w:val="clear" w:color="auto" w:fill="auto"/>
            <w:vAlign w:val="center"/>
          </w:tcPr>
          <w:p w14:paraId="09D3EAA1"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X2.2</w:t>
            </w:r>
          </w:p>
        </w:tc>
        <w:tc>
          <w:tcPr>
            <w:tcW w:w="1530" w:type="dxa"/>
            <w:tcBorders>
              <w:top w:val="nil"/>
              <w:left w:val="nil"/>
              <w:bottom w:val="single" w:sz="8" w:space="0" w:color="000000"/>
              <w:right w:val="single" w:sz="8" w:space="0" w:color="000000"/>
            </w:tcBorders>
            <w:shd w:val="clear" w:color="auto" w:fill="auto"/>
            <w:vAlign w:val="center"/>
          </w:tcPr>
          <w:p w14:paraId="21DCD4F9"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0.349</w:t>
            </w:r>
          </w:p>
        </w:tc>
        <w:tc>
          <w:tcPr>
            <w:tcW w:w="2160" w:type="dxa"/>
            <w:tcBorders>
              <w:top w:val="nil"/>
              <w:left w:val="nil"/>
              <w:bottom w:val="single" w:sz="8" w:space="0" w:color="000000"/>
              <w:right w:val="single" w:sz="8" w:space="0" w:color="000000"/>
            </w:tcBorders>
            <w:shd w:val="clear" w:color="auto" w:fill="auto"/>
            <w:vAlign w:val="center"/>
          </w:tcPr>
          <w:p w14:paraId="2FE3201E"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0.813</w:t>
            </w:r>
          </w:p>
        </w:tc>
        <w:tc>
          <w:tcPr>
            <w:tcW w:w="1770" w:type="dxa"/>
            <w:tcBorders>
              <w:top w:val="nil"/>
              <w:left w:val="nil"/>
              <w:bottom w:val="single" w:sz="8" w:space="0" w:color="000000"/>
              <w:right w:val="single" w:sz="8" w:space="0" w:color="000000"/>
            </w:tcBorders>
            <w:shd w:val="clear" w:color="auto" w:fill="auto"/>
            <w:vAlign w:val="center"/>
          </w:tcPr>
          <w:p w14:paraId="3753EBC7" w14:textId="77777777" w:rsidR="0031121E" w:rsidRPr="00D654F7" w:rsidRDefault="00B9221C" w:rsidP="001779AD">
            <w:pPr>
              <w:spacing w:after="0" w:line="240" w:lineRule="auto"/>
              <w:jc w:val="right"/>
              <w:rPr>
                <w:rFonts w:ascii="Book Antiqua" w:eastAsia="Times New Roman" w:hAnsi="Book Antiqua" w:cs="Times New Roman"/>
                <w:sz w:val="24"/>
                <w:szCs w:val="24"/>
              </w:rPr>
            </w:pPr>
            <w:r w:rsidRPr="00D654F7">
              <w:rPr>
                <w:rFonts w:ascii="Book Antiqua" w:eastAsia="Times New Roman" w:hAnsi="Book Antiqua" w:cs="Times New Roman"/>
                <w:sz w:val="24"/>
                <w:szCs w:val="24"/>
              </w:rPr>
              <w:t>0.461</w:t>
            </w:r>
          </w:p>
        </w:tc>
        <w:tc>
          <w:tcPr>
            <w:tcW w:w="1515" w:type="dxa"/>
            <w:tcBorders>
              <w:top w:val="nil"/>
              <w:left w:val="nil"/>
              <w:bottom w:val="single" w:sz="8" w:space="0" w:color="000000"/>
              <w:right w:val="single" w:sz="8" w:space="0" w:color="000000"/>
            </w:tcBorders>
            <w:shd w:val="clear" w:color="auto" w:fill="auto"/>
            <w:vAlign w:val="center"/>
          </w:tcPr>
          <w:p w14:paraId="2988F2B5"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0.593</w:t>
            </w:r>
          </w:p>
        </w:tc>
      </w:tr>
      <w:tr w:rsidR="0031121E" w:rsidRPr="00D654F7" w14:paraId="79A76056" w14:textId="77777777">
        <w:trPr>
          <w:trHeight w:val="315"/>
          <w:jc w:val="center"/>
        </w:trPr>
        <w:tc>
          <w:tcPr>
            <w:tcW w:w="960" w:type="dxa"/>
            <w:tcBorders>
              <w:top w:val="nil"/>
              <w:left w:val="single" w:sz="8" w:space="0" w:color="000000"/>
              <w:bottom w:val="single" w:sz="8" w:space="0" w:color="000000"/>
              <w:right w:val="single" w:sz="8" w:space="0" w:color="000000"/>
            </w:tcBorders>
            <w:shd w:val="clear" w:color="auto" w:fill="auto"/>
            <w:vAlign w:val="center"/>
          </w:tcPr>
          <w:p w14:paraId="2A598C37"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X2.3</w:t>
            </w:r>
          </w:p>
        </w:tc>
        <w:tc>
          <w:tcPr>
            <w:tcW w:w="1530" w:type="dxa"/>
            <w:tcBorders>
              <w:top w:val="nil"/>
              <w:left w:val="nil"/>
              <w:bottom w:val="single" w:sz="8" w:space="0" w:color="000000"/>
              <w:right w:val="single" w:sz="8" w:space="0" w:color="000000"/>
            </w:tcBorders>
            <w:shd w:val="clear" w:color="auto" w:fill="auto"/>
            <w:vAlign w:val="center"/>
          </w:tcPr>
          <w:p w14:paraId="4864E12A"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0.406</w:t>
            </w:r>
          </w:p>
        </w:tc>
        <w:tc>
          <w:tcPr>
            <w:tcW w:w="2160" w:type="dxa"/>
            <w:tcBorders>
              <w:top w:val="nil"/>
              <w:left w:val="nil"/>
              <w:bottom w:val="single" w:sz="8" w:space="0" w:color="000000"/>
              <w:right w:val="single" w:sz="8" w:space="0" w:color="000000"/>
            </w:tcBorders>
            <w:shd w:val="clear" w:color="auto" w:fill="auto"/>
            <w:vAlign w:val="center"/>
          </w:tcPr>
          <w:p w14:paraId="611ED129"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0.792</w:t>
            </w:r>
          </w:p>
        </w:tc>
        <w:tc>
          <w:tcPr>
            <w:tcW w:w="1770" w:type="dxa"/>
            <w:tcBorders>
              <w:top w:val="nil"/>
              <w:left w:val="nil"/>
              <w:bottom w:val="single" w:sz="8" w:space="0" w:color="000000"/>
              <w:right w:val="single" w:sz="8" w:space="0" w:color="000000"/>
            </w:tcBorders>
            <w:shd w:val="clear" w:color="auto" w:fill="auto"/>
            <w:vAlign w:val="center"/>
          </w:tcPr>
          <w:p w14:paraId="764B07FB" w14:textId="77777777" w:rsidR="0031121E" w:rsidRPr="00D654F7" w:rsidRDefault="00B9221C" w:rsidP="001779AD">
            <w:pPr>
              <w:spacing w:after="0" w:line="240" w:lineRule="auto"/>
              <w:jc w:val="right"/>
              <w:rPr>
                <w:rFonts w:ascii="Book Antiqua" w:eastAsia="Times New Roman" w:hAnsi="Book Antiqua" w:cs="Times New Roman"/>
                <w:sz w:val="24"/>
                <w:szCs w:val="24"/>
              </w:rPr>
            </w:pPr>
            <w:r w:rsidRPr="00D654F7">
              <w:rPr>
                <w:rFonts w:ascii="Book Antiqua" w:eastAsia="Times New Roman" w:hAnsi="Book Antiqua" w:cs="Times New Roman"/>
                <w:sz w:val="24"/>
                <w:szCs w:val="24"/>
              </w:rPr>
              <w:t>0.471</w:t>
            </w:r>
          </w:p>
        </w:tc>
        <w:tc>
          <w:tcPr>
            <w:tcW w:w="1515" w:type="dxa"/>
            <w:tcBorders>
              <w:top w:val="nil"/>
              <w:left w:val="nil"/>
              <w:bottom w:val="single" w:sz="8" w:space="0" w:color="000000"/>
              <w:right w:val="single" w:sz="8" w:space="0" w:color="000000"/>
            </w:tcBorders>
            <w:shd w:val="clear" w:color="auto" w:fill="auto"/>
            <w:vAlign w:val="center"/>
          </w:tcPr>
          <w:p w14:paraId="377E0C37"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0.542</w:t>
            </w:r>
          </w:p>
        </w:tc>
      </w:tr>
      <w:tr w:rsidR="0031121E" w:rsidRPr="00D654F7" w14:paraId="082031FD" w14:textId="77777777">
        <w:trPr>
          <w:trHeight w:val="315"/>
          <w:jc w:val="center"/>
        </w:trPr>
        <w:tc>
          <w:tcPr>
            <w:tcW w:w="960" w:type="dxa"/>
            <w:tcBorders>
              <w:top w:val="nil"/>
              <w:left w:val="single" w:sz="8" w:space="0" w:color="000000"/>
              <w:bottom w:val="single" w:sz="8" w:space="0" w:color="000000"/>
              <w:right w:val="single" w:sz="8" w:space="0" w:color="000000"/>
            </w:tcBorders>
            <w:shd w:val="clear" w:color="auto" w:fill="auto"/>
            <w:vAlign w:val="center"/>
          </w:tcPr>
          <w:p w14:paraId="2527B296"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X2.4</w:t>
            </w:r>
          </w:p>
        </w:tc>
        <w:tc>
          <w:tcPr>
            <w:tcW w:w="1530" w:type="dxa"/>
            <w:tcBorders>
              <w:top w:val="nil"/>
              <w:left w:val="nil"/>
              <w:bottom w:val="single" w:sz="8" w:space="0" w:color="000000"/>
              <w:right w:val="single" w:sz="8" w:space="0" w:color="000000"/>
            </w:tcBorders>
            <w:shd w:val="clear" w:color="auto" w:fill="auto"/>
            <w:vAlign w:val="center"/>
          </w:tcPr>
          <w:p w14:paraId="7EFAFB55"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0.328</w:t>
            </w:r>
          </w:p>
        </w:tc>
        <w:tc>
          <w:tcPr>
            <w:tcW w:w="2160" w:type="dxa"/>
            <w:tcBorders>
              <w:top w:val="nil"/>
              <w:left w:val="nil"/>
              <w:bottom w:val="single" w:sz="8" w:space="0" w:color="000000"/>
              <w:right w:val="single" w:sz="8" w:space="0" w:color="000000"/>
            </w:tcBorders>
            <w:shd w:val="clear" w:color="auto" w:fill="auto"/>
            <w:vAlign w:val="center"/>
          </w:tcPr>
          <w:p w14:paraId="7D88D9B8"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0.804</w:t>
            </w:r>
          </w:p>
        </w:tc>
        <w:tc>
          <w:tcPr>
            <w:tcW w:w="1770" w:type="dxa"/>
            <w:tcBorders>
              <w:top w:val="nil"/>
              <w:left w:val="nil"/>
              <w:bottom w:val="single" w:sz="8" w:space="0" w:color="000000"/>
              <w:right w:val="single" w:sz="8" w:space="0" w:color="000000"/>
            </w:tcBorders>
            <w:shd w:val="clear" w:color="auto" w:fill="auto"/>
            <w:vAlign w:val="center"/>
          </w:tcPr>
          <w:p w14:paraId="06157324" w14:textId="77777777" w:rsidR="0031121E" w:rsidRPr="00D654F7" w:rsidRDefault="00B9221C" w:rsidP="001779AD">
            <w:pPr>
              <w:spacing w:after="0" w:line="240" w:lineRule="auto"/>
              <w:jc w:val="right"/>
              <w:rPr>
                <w:rFonts w:ascii="Book Antiqua" w:eastAsia="Times New Roman" w:hAnsi="Book Antiqua" w:cs="Times New Roman"/>
                <w:sz w:val="24"/>
                <w:szCs w:val="24"/>
              </w:rPr>
            </w:pPr>
            <w:r w:rsidRPr="00D654F7">
              <w:rPr>
                <w:rFonts w:ascii="Book Antiqua" w:eastAsia="Times New Roman" w:hAnsi="Book Antiqua" w:cs="Times New Roman"/>
                <w:sz w:val="24"/>
                <w:szCs w:val="24"/>
              </w:rPr>
              <w:t>0.463</w:t>
            </w:r>
          </w:p>
        </w:tc>
        <w:tc>
          <w:tcPr>
            <w:tcW w:w="1515" w:type="dxa"/>
            <w:tcBorders>
              <w:top w:val="nil"/>
              <w:left w:val="nil"/>
              <w:bottom w:val="single" w:sz="8" w:space="0" w:color="000000"/>
              <w:right w:val="single" w:sz="8" w:space="0" w:color="000000"/>
            </w:tcBorders>
            <w:shd w:val="clear" w:color="auto" w:fill="auto"/>
            <w:vAlign w:val="center"/>
          </w:tcPr>
          <w:p w14:paraId="7FEED2F6"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0.534</w:t>
            </w:r>
          </w:p>
        </w:tc>
      </w:tr>
      <w:tr w:rsidR="0031121E" w:rsidRPr="00D654F7" w14:paraId="630860C9" w14:textId="77777777">
        <w:trPr>
          <w:trHeight w:val="315"/>
          <w:jc w:val="center"/>
        </w:trPr>
        <w:tc>
          <w:tcPr>
            <w:tcW w:w="960" w:type="dxa"/>
            <w:tcBorders>
              <w:top w:val="nil"/>
              <w:left w:val="single" w:sz="8" w:space="0" w:color="000000"/>
              <w:bottom w:val="single" w:sz="8" w:space="0" w:color="000000"/>
              <w:right w:val="single" w:sz="8" w:space="0" w:color="000000"/>
            </w:tcBorders>
            <w:shd w:val="clear" w:color="auto" w:fill="auto"/>
            <w:vAlign w:val="center"/>
          </w:tcPr>
          <w:p w14:paraId="562A6BE2" w14:textId="77777777" w:rsidR="0031121E" w:rsidRPr="00D654F7" w:rsidRDefault="00B9221C" w:rsidP="001779AD">
            <w:pPr>
              <w:spacing w:after="0" w:line="240" w:lineRule="auto"/>
              <w:rPr>
                <w:rFonts w:ascii="Book Antiqua" w:eastAsia="Times New Roman" w:hAnsi="Book Antiqua" w:cs="Times New Roman"/>
                <w:b/>
                <w:bCs/>
                <w:sz w:val="24"/>
                <w:szCs w:val="24"/>
              </w:rPr>
            </w:pPr>
            <w:r w:rsidRPr="00D654F7">
              <w:rPr>
                <w:rFonts w:ascii="Book Antiqua" w:eastAsia="Times New Roman" w:hAnsi="Book Antiqua" w:cs="Times New Roman"/>
                <w:b/>
                <w:bCs/>
                <w:sz w:val="24"/>
                <w:szCs w:val="24"/>
              </w:rPr>
              <w:t>M.1</w:t>
            </w:r>
          </w:p>
        </w:tc>
        <w:tc>
          <w:tcPr>
            <w:tcW w:w="1530" w:type="dxa"/>
            <w:tcBorders>
              <w:top w:val="nil"/>
              <w:left w:val="nil"/>
              <w:bottom w:val="single" w:sz="8" w:space="0" w:color="000000"/>
              <w:right w:val="single" w:sz="8" w:space="0" w:color="000000"/>
            </w:tcBorders>
            <w:shd w:val="clear" w:color="auto" w:fill="auto"/>
            <w:vAlign w:val="center"/>
          </w:tcPr>
          <w:p w14:paraId="3479A70D" w14:textId="77777777" w:rsidR="0031121E" w:rsidRPr="00D654F7" w:rsidRDefault="00B9221C" w:rsidP="001779AD">
            <w:pPr>
              <w:spacing w:after="0" w:line="240" w:lineRule="auto"/>
              <w:jc w:val="right"/>
              <w:rPr>
                <w:rFonts w:ascii="Book Antiqua" w:eastAsia="Times New Roman" w:hAnsi="Book Antiqua" w:cs="Times New Roman"/>
                <w:sz w:val="24"/>
                <w:szCs w:val="24"/>
              </w:rPr>
            </w:pPr>
            <w:r w:rsidRPr="00D654F7">
              <w:rPr>
                <w:rFonts w:ascii="Book Antiqua" w:eastAsia="Times New Roman" w:hAnsi="Book Antiqua" w:cs="Times New Roman"/>
                <w:sz w:val="24"/>
                <w:szCs w:val="24"/>
              </w:rPr>
              <w:t>0.41</w:t>
            </w:r>
          </w:p>
        </w:tc>
        <w:tc>
          <w:tcPr>
            <w:tcW w:w="2160" w:type="dxa"/>
            <w:tcBorders>
              <w:top w:val="nil"/>
              <w:left w:val="nil"/>
              <w:bottom w:val="single" w:sz="8" w:space="0" w:color="000000"/>
              <w:right w:val="single" w:sz="8" w:space="0" w:color="000000"/>
            </w:tcBorders>
            <w:shd w:val="clear" w:color="auto" w:fill="auto"/>
            <w:vAlign w:val="center"/>
          </w:tcPr>
          <w:p w14:paraId="3A0A716B" w14:textId="77777777" w:rsidR="0031121E" w:rsidRPr="00D654F7" w:rsidRDefault="00B9221C" w:rsidP="001779AD">
            <w:pPr>
              <w:spacing w:after="0" w:line="240" w:lineRule="auto"/>
              <w:jc w:val="right"/>
              <w:rPr>
                <w:rFonts w:ascii="Book Antiqua" w:eastAsia="Times New Roman" w:hAnsi="Book Antiqua" w:cs="Times New Roman"/>
                <w:sz w:val="24"/>
                <w:szCs w:val="24"/>
              </w:rPr>
            </w:pPr>
            <w:r w:rsidRPr="00D654F7">
              <w:rPr>
                <w:rFonts w:ascii="Book Antiqua" w:eastAsia="Times New Roman" w:hAnsi="Book Antiqua" w:cs="Times New Roman"/>
                <w:sz w:val="24"/>
                <w:szCs w:val="24"/>
              </w:rPr>
              <w:t>0.428</w:t>
            </w:r>
          </w:p>
        </w:tc>
        <w:tc>
          <w:tcPr>
            <w:tcW w:w="1770" w:type="dxa"/>
            <w:tcBorders>
              <w:top w:val="nil"/>
              <w:left w:val="nil"/>
              <w:bottom w:val="single" w:sz="8" w:space="0" w:color="000000"/>
              <w:right w:val="single" w:sz="8" w:space="0" w:color="000000"/>
            </w:tcBorders>
            <w:shd w:val="clear" w:color="auto" w:fill="auto"/>
            <w:vAlign w:val="center"/>
          </w:tcPr>
          <w:p w14:paraId="3DADEB97"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0.811</w:t>
            </w:r>
          </w:p>
        </w:tc>
        <w:tc>
          <w:tcPr>
            <w:tcW w:w="1515" w:type="dxa"/>
            <w:tcBorders>
              <w:top w:val="nil"/>
              <w:left w:val="nil"/>
              <w:bottom w:val="single" w:sz="8" w:space="0" w:color="000000"/>
              <w:right w:val="single" w:sz="8" w:space="0" w:color="000000"/>
            </w:tcBorders>
            <w:shd w:val="clear" w:color="auto" w:fill="auto"/>
            <w:vAlign w:val="center"/>
          </w:tcPr>
          <w:p w14:paraId="5433D1E7" w14:textId="77777777" w:rsidR="0031121E" w:rsidRPr="00D654F7" w:rsidRDefault="00B9221C" w:rsidP="001779AD">
            <w:pPr>
              <w:spacing w:after="0" w:line="240" w:lineRule="auto"/>
              <w:jc w:val="right"/>
              <w:rPr>
                <w:rFonts w:ascii="Book Antiqua" w:eastAsia="Times New Roman" w:hAnsi="Book Antiqua" w:cs="Times New Roman"/>
                <w:sz w:val="24"/>
                <w:szCs w:val="24"/>
              </w:rPr>
            </w:pPr>
            <w:r w:rsidRPr="00D654F7">
              <w:rPr>
                <w:rFonts w:ascii="Book Antiqua" w:eastAsia="Times New Roman" w:hAnsi="Book Antiqua" w:cs="Times New Roman"/>
                <w:sz w:val="24"/>
                <w:szCs w:val="24"/>
              </w:rPr>
              <w:t>0.578</w:t>
            </w:r>
          </w:p>
        </w:tc>
      </w:tr>
      <w:tr w:rsidR="0031121E" w:rsidRPr="00D654F7" w14:paraId="0D4720E6" w14:textId="77777777">
        <w:trPr>
          <w:trHeight w:val="315"/>
          <w:jc w:val="center"/>
        </w:trPr>
        <w:tc>
          <w:tcPr>
            <w:tcW w:w="960" w:type="dxa"/>
            <w:tcBorders>
              <w:top w:val="nil"/>
              <w:left w:val="single" w:sz="8" w:space="0" w:color="000000"/>
              <w:bottom w:val="single" w:sz="8" w:space="0" w:color="000000"/>
              <w:right w:val="single" w:sz="8" w:space="0" w:color="000000"/>
            </w:tcBorders>
            <w:shd w:val="clear" w:color="auto" w:fill="auto"/>
            <w:vAlign w:val="center"/>
          </w:tcPr>
          <w:p w14:paraId="5375DF00" w14:textId="77777777" w:rsidR="0031121E" w:rsidRPr="00D654F7" w:rsidRDefault="00B9221C" w:rsidP="001779AD">
            <w:pPr>
              <w:spacing w:after="0" w:line="240" w:lineRule="auto"/>
              <w:rPr>
                <w:rFonts w:ascii="Book Antiqua" w:eastAsia="Times New Roman" w:hAnsi="Book Antiqua" w:cs="Times New Roman"/>
                <w:b/>
                <w:bCs/>
                <w:sz w:val="24"/>
                <w:szCs w:val="24"/>
              </w:rPr>
            </w:pPr>
            <w:r w:rsidRPr="00D654F7">
              <w:rPr>
                <w:rFonts w:ascii="Book Antiqua" w:eastAsia="Times New Roman" w:hAnsi="Book Antiqua" w:cs="Times New Roman"/>
                <w:b/>
                <w:bCs/>
                <w:sz w:val="24"/>
                <w:szCs w:val="24"/>
              </w:rPr>
              <w:t>M.2</w:t>
            </w:r>
          </w:p>
        </w:tc>
        <w:tc>
          <w:tcPr>
            <w:tcW w:w="1530" w:type="dxa"/>
            <w:tcBorders>
              <w:top w:val="nil"/>
              <w:left w:val="nil"/>
              <w:bottom w:val="single" w:sz="8" w:space="0" w:color="000000"/>
              <w:right w:val="single" w:sz="8" w:space="0" w:color="000000"/>
            </w:tcBorders>
            <w:shd w:val="clear" w:color="auto" w:fill="auto"/>
            <w:vAlign w:val="center"/>
          </w:tcPr>
          <w:p w14:paraId="6BF8F6FD" w14:textId="77777777" w:rsidR="0031121E" w:rsidRPr="00D654F7" w:rsidRDefault="00B9221C" w:rsidP="001779AD">
            <w:pPr>
              <w:spacing w:after="0" w:line="240" w:lineRule="auto"/>
              <w:jc w:val="right"/>
              <w:rPr>
                <w:rFonts w:ascii="Book Antiqua" w:eastAsia="Times New Roman" w:hAnsi="Book Antiqua" w:cs="Times New Roman"/>
                <w:sz w:val="24"/>
                <w:szCs w:val="24"/>
              </w:rPr>
            </w:pPr>
            <w:r w:rsidRPr="00D654F7">
              <w:rPr>
                <w:rFonts w:ascii="Book Antiqua" w:eastAsia="Times New Roman" w:hAnsi="Book Antiqua" w:cs="Times New Roman"/>
                <w:sz w:val="24"/>
                <w:szCs w:val="24"/>
              </w:rPr>
              <w:t>0.404</w:t>
            </w:r>
          </w:p>
        </w:tc>
        <w:tc>
          <w:tcPr>
            <w:tcW w:w="2160" w:type="dxa"/>
            <w:tcBorders>
              <w:top w:val="nil"/>
              <w:left w:val="nil"/>
              <w:bottom w:val="single" w:sz="8" w:space="0" w:color="000000"/>
              <w:right w:val="single" w:sz="8" w:space="0" w:color="000000"/>
            </w:tcBorders>
            <w:shd w:val="clear" w:color="auto" w:fill="auto"/>
            <w:vAlign w:val="center"/>
          </w:tcPr>
          <w:p w14:paraId="492828A4" w14:textId="77777777" w:rsidR="0031121E" w:rsidRPr="00D654F7" w:rsidRDefault="00B9221C" w:rsidP="001779AD">
            <w:pPr>
              <w:spacing w:after="0" w:line="240" w:lineRule="auto"/>
              <w:jc w:val="right"/>
              <w:rPr>
                <w:rFonts w:ascii="Book Antiqua" w:eastAsia="Times New Roman" w:hAnsi="Book Antiqua" w:cs="Times New Roman"/>
                <w:sz w:val="24"/>
                <w:szCs w:val="24"/>
              </w:rPr>
            </w:pPr>
            <w:r w:rsidRPr="00D654F7">
              <w:rPr>
                <w:rFonts w:ascii="Book Antiqua" w:eastAsia="Times New Roman" w:hAnsi="Book Antiqua" w:cs="Times New Roman"/>
                <w:sz w:val="24"/>
                <w:szCs w:val="24"/>
              </w:rPr>
              <w:t>0.479</w:t>
            </w:r>
          </w:p>
        </w:tc>
        <w:tc>
          <w:tcPr>
            <w:tcW w:w="1770" w:type="dxa"/>
            <w:tcBorders>
              <w:top w:val="nil"/>
              <w:left w:val="nil"/>
              <w:bottom w:val="single" w:sz="8" w:space="0" w:color="000000"/>
              <w:right w:val="single" w:sz="8" w:space="0" w:color="000000"/>
            </w:tcBorders>
            <w:shd w:val="clear" w:color="auto" w:fill="auto"/>
            <w:vAlign w:val="center"/>
          </w:tcPr>
          <w:p w14:paraId="24AC089A"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0.821</w:t>
            </w:r>
          </w:p>
        </w:tc>
        <w:tc>
          <w:tcPr>
            <w:tcW w:w="1515" w:type="dxa"/>
            <w:tcBorders>
              <w:top w:val="nil"/>
              <w:left w:val="nil"/>
              <w:bottom w:val="single" w:sz="8" w:space="0" w:color="000000"/>
              <w:right w:val="single" w:sz="8" w:space="0" w:color="000000"/>
            </w:tcBorders>
            <w:shd w:val="clear" w:color="auto" w:fill="auto"/>
            <w:vAlign w:val="center"/>
          </w:tcPr>
          <w:p w14:paraId="76D2BA6F" w14:textId="77777777" w:rsidR="0031121E" w:rsidRPr="00D654F7" w:rsidRDefault="00B9221C" w:rsidP="001779AD">
            <w:pPr>
              <w:spacing w:after="0" w:line="240" w:lineRule="auto"/>
              <w:jc w:val="right"/>
              <w:rPr>
                <w:rFonts w:ascii="Book Antiqua" w:eastAsia="Times New Roman" w:hAnsi="Book Antiqua" w:cs="Times New Roman"/>
                <w:sz w:val="24"/>
                <w:szCs w:val="24"/>
              </w:rPr>
            </w:pPr>
            <w:r w:rsidRPr="00D654F7">
              <w:rPr>
                <w:rFonts w:ascii="Book Antiqua" w:eastAsia="Times New Roman" w:hAnsi="Book Antiqua" w:cs="Times New Roman"/>
                <w:sz w:val="24"/>
                <w:szCs w:val="24"/>
              </w:rPr>
              <w:t>0.574</w:t>
            </w:r>
          </w:p>
        </w:tc>
      </w:tr>
      <w:tr w:rsidR="0031121E" w:rsidRPr="00D654F7" w14:paraId="01C173DF" w14:textId="77777777">
        <w:trPr>
          <w:trHeight w:val="315"/>
          <w:jc w:val="center"/>
        </w:trPr>
        <w:tc>
          <w:tcPr>
            <w:tcW w:w="960" w:type="dxa"/>
            <w:tcBorders>
              <w:top w:val="nil"/>
              <w:left w:val="single" w:sz="8" w:space="0" w:color="000000"/>
              <w:bottom w:val="single" w:sz="8" w:space="0" w:color="000000"/>
              <w:right w:val="single" w:sz="8" w:space="0" w:color="000000"/>
            </w:tcBorders>
            <w:shd w:val="clear" w:color="auto" w:fill="auto"/>
            <w:vAlign w:val="center"/>
          </w:tcPr>
          <w:p w14:paraId="7CC5D2AB" w14:textId="77777777" w:rsidR="0031121E" w:rsidRPr="00D654F7" w:rsidRDefault="00B9221C" w:rsidP="001779AD">
            <w:pPr>
              <w:spacing w:after="0" w:line="240" w:lineRule="auto"/>
              <w:rPr>
                <w:rFonts w:ascii="Book Antiqua" w:eastAsia="Times New Roman" w:hAnsi="Book Antiqua" w:cs="Times New Roman"/>
                <w:b/>
                <w:bCs/>
                <w:sz w:val="24"/>
                <w:szCs w:val="24"/>
              </w:rPr>
            </w:pPr>
            <w:r w:rsidRPr="00D654F7">
              <w:rPr>
                <w:rFonts w:ascii="Book Antiqua" w:eastAsia="Times New Roman" w:hAnsi="Book Antiqua" w:cs="Times New Roman"/>
                <w:b/>
                <w:bCs/>
                <w:sz w:val="24"/>
                <w:szCs w:val="24"/>
              </w:rPr>
              <w:t>M.3</w:t>
            </w:r>
          </w:p>
        </w:tc>
        <w:tc>
          <w:tcPr>
            <w:tcW w:w="1530" w:type="dxa"/>
            <w:tcBorders>
              <w:top w:val="nil"/>
              <w:left w:val="nil"/>
              <w:bottom w:val="single" w:sz="8" w:space="0" w:color="000000"/>
              <w:right w:val="single" w:sz="8" w:space="0" w:color="000000"/>
            </w:tcBorders>
            <w:shd w:val="clear" w:color="auto" w:fill="auto"/>
            <w:vAlign w:val="center"/>
          </w:tcPr>
          <w:p w14:paraId="4C2FF663" w14:textId="77777777" w:rsidR="0031121E" w:rsidRPr="00D654F7" w:rsidRDefault="00B9221C" w:rsidP="001779AD">
            <w:pPr>
              <w:spacing w:after="0" w:line="240" w:lineRule="auto"/>
              <w:jc w:val="right"/>
              <w:rPr>
                <w:rFonts w:ascii="Book Antiqua" w:eastAsia="Times New Roman" w:hAnsi="Book Antiqua" w:cs="Times New Roman"/>
                <w:sz w:val="24"/>
                <w:szCs w:val="24"/>
              </w:rPr>
            </w:pPr>
            <w:r w:rsidRPr="00D654F7">
              <w:rPr>
                <w:rFonts w:ascii="Book Antiqua" w:eastAsia="Times New Roman" w:hAnsi="Book Antiqua" w:cs="Times New Roman"/>
                <w:sz w:val="24"/>
                <w:szCs w:val="24"/>
              </w:rPr>
              <w:t>0.401</w:t>
            </w:r>
          </w:p>
        </w:tc>
        <w:tc>
          <w:tcPr>
            <w:tcW w:w="2160" w:type="dxa"/>
            <w:tcBorders>
              <w:top w:val="nil"/>
              <w:left w:val="nil"/>
              <w:bottom w:val="single" w:sz="8" w:space="0" w:color="000000"/>
              <w:right w:val="single" w:sz="8" w:space="0" w:color="000000"/>
            </w:tcBorders>
            <w:shd w:val="clear" w:color="auto" w:fill="auto"/>
            <w:vAlign w:val="center"/>
          </w:tcPr>
          <w:p w14:paraId="670C0F00" w14:textId="77777777" w:rsidR="0031121E" w:rsidRPr="00D654F7" w:rsidRDefault="00B9221C" w:rsidP="001779AD">
            <w:pPr>
              <w:spacing w:after="0" w:line="240" w:lineRule="auto"/>
              <w:jc w:val="right"/>
              <w:rPr>
                <w:rFonts w:ascii="Book Antiqua" w:eastAsia="Times New Roman" w:hAnsi="Book Antiqua" w:cs="Times New Roman"/>
                <w:sz w:val="24"/>
                <w:szCs w:val="24"/>
              </w:rPr>
            </w:pPr>
            <w:r w:rsidRPr="00D654F7">
              <w:rPr>
                <w:rFonts w:ascii="Book Antiqua" w:eastAsia="Times New Roman" w:hAnsi="Book Antiqua" w:cs="Times New Roman"/>
                <w:sz w:val="24"/>
                <w:szCs w:val="24"/>
              </w:rPr>
              <w:t>0.428</w:t>
            </w:r>
          </w:p>
        </w:tc>
        <w:tc>
          <w:tcPr>
            <w:tcW w:w="1770" w:type="dxa"/>
            <w:tcBorders>
              <w:top w:val="nil"/>
              <w:left w:val="nil"/>
              <w:bottom w:val="single" w:sz="8" w:space="0" w:color="000000"/>
              <w:right w:val="single" w:sz="8" w:space="0" w:color="000000"/>
            </w:tcBorders>
            <w:shd w:val="clear" w:color="auto" w:fill="auto"/>
            <w:vAlign w:val="center"/>
          </w:tcPr>
          <w:p w14:paraId="54A86770"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0.735</w:t>
            </w:r>
          </w:p>
        </w:tc>
        <w:tc>
          <w:tcPr>
            <w:tcW w:w="1515" w:type="dxa"/>
            <w:tcBorders>
              <w:top w:val="nil"/>
              <w:left w:val="nil"/>
              <w:bottom w:val="single" w:sz="8" w:space="0" w:color="000000"/>
              <w:right w:val="single" w:sz="8" w:space="0" w:color="000000"/>
            </w:tcBorders>
            <w:shd w:val="clear" w:color="auto" w:fill="auto"/>
            <w:vAlign w:val="center"/>
          </w:tcPr>
          <w:p w14:paraId="5B9517DE" w14:textId="77777777" w:rsidR="0031121E" w:rsidRPr="00D654F7" w:rsidRDefault="00B9221C" w:rsidP="001779AD">
            <w:pPr>
              <w:spacing w:after="0" w:line="240" w:lineRule="auto"/>
              <w:jc w:val="right"/>
              <w:rPr>
                <w:rFonts w:ascii="Book Antiqua" w:eastAsia="Times New Roman" w:hAnsi="Book Antiqua" w:cs="Times New Roman"/>
                <w:sz w:val="24"/>
                <w:szCs w:val="24"/>
              </w:rPr>
            </w:pPr>
            <w:r w:rsidRPr="00D654F7">
              <w:rPr>
                <w:rFonts w:ascii="Book Antiqua" w:eastAsia="Times New Roman" w:hAnsi="Book Antiqua" w:cs="Times New Roman"/>
                <w:sz w:val="24"/>
                <w:szCs w:val="24"/>
              </w:rPr>
              <w:t>0.429</w:t>
            </w:r>
          </w:p>
        </w:tc>
      </w:tr>
      <w:tr w:rsidR="0031121E" w:rsidRPr="00D654F7" w14:paraId="2D1AA852" w14:textId="77777777">
        <w:trPr>
          <w:trHeight w:val="315"/>
          <w:jc w:val="center"/>
        </w:trPr>
        <w:tc>
          <w:tcPr>
            <w:tcW w:w="960" w:type="dxa"/>
            <w:tcBorders>
              <w:top w:val="nil"/>
              <w:left w:val="single" w:sz="8" w:space="0" w:color="000000"/>
              <w:bottom w:val="single" w:sz="8" w:space="0" w:color="000000"/>
              <w:right w:val="single" w:sz="8" w:space="0" w:color="000000"/>
            </w:tcBorders>
            <w:shd w:val="clear" w:color="auto" w:fill="auto"/>
            <w:vAlign w:val="center"/>
          </w:tcPr>
          <w:p w14:paraId="7586EBC7" w14:textId="77777777" w:rsidR="0031121E" w:rsidRPr="00D654F7" w:rsidRDefault="00B9221C" w:rsidP="001779AD">
            <w:pPr>
              <w:spacing w:after="0" w:line="240" w:lineRule="auto"/>
              <w:rPr>
                <w:rFonts w:ascii="Book Antiqua" w:eastAsia="Times New Roman" w:hAnsi="Book Antiqua" w:cs="Times New Roman"/>
                <w:b/>
                <w:bCs/>
                <w:sz w:val="24"/>
                <w:szCs w:val="24"/>
              </w:rPr>
            </w:pPr>
            <w:r w:rsidRPr="00D654F7">
              <w:rPr>
                <w:rFonts w:ascii="Book Antiqua" w:eastAsia="Times New Roman" w:hAnsi="Book Antiqua" w:cs="Times New Roman"/>
                <w:b/>
                <w:bCs/>
                <w:sz w:val="24"/>
                <w:szCs w:val="24"/>
              </w:rPr>
              <w:t>M.4</w:t>
            </w:r>
          </w:p>
        </w:tc>
        <w:tc>
          <w:tcPr>
            <w:tcW w:w="1530" w:type="dxa"/>
            <w:tcBorders>
              <w:top w:val="nil"/>
              <w:left w:val="nil"/>
              <w:bottom w:val="single" w:sz="8" w:space="0" w:color="000000"/>
              <w:right w:val="single" w:sz="8" w:space="0" w:color="000000"/>
            </w:tcBorders>
            <w:shd w:val="clear" w:color="auto" w:fill="auto"/>
            <w:vAlign w:val="center"/>
          </w:tcPr>
          <w:p w14:paraId="54103338" w14:textId="77777777" w:rsidR="0031121E" w:rsidRPr="00D654F7" w:rsidRDefault="00B9221C" w:rsidP="001779AD">
            <w:pPr>
              <w:spacing w:after="0" w:line="240" w:lineRule="auto"/>
              <w:jc w:val="right"/>
              <w:rPr>
                <w:rFonts w:ascii="Book Antiqua" w:eastAsia="Times New Roman" w:hAnsi="Book Antiqua" w:cs="Times New Roman"/>
                <w:sz w:val="24"/>
                <w:szCs w:val="24"/>
              </w:rPr>
            </w:pPr>
            <w:r w:rsidRPr="00D654F7">
              <w:rPr>
                <w:rFonts w:ascii="Book Antiqua" w:eastAsia="Times New Roman" w:hAnsi="Book Antiqua" w:cs="Times New Roman"/>
                <w:sz w:val="24"/>
                <w:szCs w:val="24"/>
              </w:rPr>
              <w:t>0.516</w:t>
            </w:r>
          </w:p>
        </w:tc>
        <w:tc>
          <w:tcPr>
            <w:tcW w:w="2160" w:type="dxa"/>
            <w:tcBorders>
              <w:top w:val="nil"/>
              <w:left w:val="nil"/>
              <w:bottom w:val="single" w:sz="8" w:space="0" w:color="000000"/>
              <w:right w:val="single" w:sz="8" w:space="0" w:color="000000"/>
            </w:tcBorders>
            <w:shd w:val="clear" w:color="auto" w:fill="auto"/>
            <w:vAlign w:val="center"/>
          </w:tcPr>
          <w:p w14:paraId="0C89DAEA" w14:textId="77777777" w:rsidR="0031121E" w:rsidRPr="00D654F7" w:rsidRDefault="00B9221C" w:rsidP="001779AD">
            <w:pPr>
              <w:spacing w:after="0" w:line="240" w:lineRule="auto"/>
              <w:jc w:val="right"/>
              <w:rPr>
                <w:rFonts w:ascii="Book Antiqua" w:eastAsia="Times New Roman" w:hAnsi="Book Antiqua" w:cs="Times New Roman"/>
                <w:sz w:val="24"/>
                <w:szCs w:val="24"/>
              </w:rPr>
            </w:pPr>
            <w:r w:rsidRPr="00D654F7">
              <w:rPr>
                <w:rFonts w:ascii="Book Antiqua" w:eastAsia="Times New Roman" w:hAnsi="Book Antiqua" w:cs="Times New Roman"/>
                <w:sz w:val="24"/>
                <w:szCs w:val="24"/>
              </w:rPr>
              <w:t>0.467</w:t>
            </w:r>
          </w:p>
        </w:tc>
        <w:tc>
          <w:tcPr>
            <w:tcW w:w="1770" w:type="dxa"/>
            <w:tcBorders>
              <w:top w:val="nil"/>
              <w:left w:val="nil"/>
              <w:bottom w:val="single" w:sz="8" w:space="0" w:color="000000"/>
              <w:right w:val="single" w:sz="8" w:space="0" w:color="000000"/>
            </w:tcBorders>
            <w:shd w:val="clear" w:color="auto" w:fill="auto"/>
            <w:vAlign w:val="center"/>
          </w:tcPr>
          <w:p w14:paraId="1FA0083E"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0.808</w:t>
            </w:r>
          </w:p>
        </w:tc>
        <w:tc>
          <w:tcPr>
            <w:tcW w:w="1515" w:type="dxa"/>
            <w:tcBorders>
              <w:top w:val="nil"/>
              <w:left w:val="nil"/>
              <w:bottom w:val="single" w:sz="8" w:space="0" w:color="000000"/>
              <w:right w:val="single" w:sz="8" w:space="0" w:color="000000"/>
            </w:tcBorders>
            <w:shd w:val="clear" w:color="auto" w:fill="auto"/>
            <w:vAlign w:val="center"/>
          </w:tcPr>
          <w:p w14:paraId="59690611" w14:textId="77777777" w:rsidR="0031121E" w:rsidRPr="00D654F7" w:rsidRDefault="00B9221C" w:rsidP="001779AD">
            <w:pPr>
              <w:spacing w:after="0" w:line="240" w:lineRule="auto"/>
              <w:jc w:val="right"/>
              <w:rPr>
                <w:rFonts w:ascii="Book Antiqua" w:eastAsia="Times New Roman" w:hAnsi="Book Antiqua" w:cs="Times New Roman"/>
                <w:sz w:val="24"/>
                <w:szCs w:val="24"/>
              </w:rPr>
            </w:pPr>
            <w:r w:rsidRPr="00D654F7">
              <w:rPr>
                <w:rFonts w:ascii="Book Antiqua" w:eastAsia="Times New Roman" w:hAnsi="Book Antiqua" w:cs="Times New Roman"/>
                <w:sz w:val="24"/>
                <w:szCs w:val="24"/>
              </w:rPr>
              <w:t>0.569</w:t>
            </w:r>
          </w:p>
        </w:tc>
      </w:tr>
      <w:tr w:rsidR="0031121E" w:rsidRPr="00D654F7" w14:paraId="0CBA267F" w14:textId="77777777">
        <w:trPr>
          <w:trHeight w:val="315"/>
          <w:jc w:val="center"/>
        </w:trPr>
        <w:tc>
          <w:tcPr>
            <w:tcW w:w="960" w:type="dxa"/>
            <w:tcBorders>
              <w:top w:val="nil"/>
              <w:left w:val="single" w:sz="8" w:space="0" w:color="000000"/>
              <w:bottom w:val="single" w:sz="8" w:space="0" w:color="000000"/>
              <w:right w:val="single" w:sz="8" w:space="0" w:color="000000"/>
            </w:tcBorders>
            <w:shd w:val="clear" w:color="auto" w:fill="auto"/>
            <w:vAlign w:val="center"/>
          </w:tcPr>
          <w:p w14:paraId="72B82C13"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Y.1</w:t>
            </w:r>
          </w:p>
        </w:tc>
        <w:tc>
          <w:tcPr>
            <w:tcW w:w="1530" w:type="dxa"/>
            <w:tcBorders>
              <w:top w:val="nil"/>
              <w:left w:val="nil"/>
              <w:bottom w:val="single" w:sz="8" w:space="0" w:color="000000"/>
              <w:right w:val="single" w:sz="8" w:space="0" w:color="000000"/>
            </w:tcBorders>
            <w:shd w:val="clear" w:color="auto" w:fill="auto"/>
            <w:vAlign w:val="center"/>
          </w:tcPr>
          <w:p w14:paraId="1E7FD063"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0.585</w:t>
            </w:r>
          </w:p>
        </w:tc>
        <w:tc>
          <w:tcPr>
            <w:tcW w:w="2160" w:type="dxa"/>
            <w:tcBorders>
              <w:top w:val="nil"/>
              <w:left w:val="nil"/>
              <w:bottom w:val="single" w:sz="8" w:space="0" w:color="000000"/>
              <w:right w:val="single" w:sz="8" w:space="0" w:color="000000"/>
            </w:tcBorders>
            <w:shd w:val="clear" w:color="auto" w:fill="auto"/>
            <w:vAlign w:val="center"/>
          </w:tcPr>
          <w:p w14:paraId="286A26A1"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0.611</w:t>
            </w:r>
          </w:p>
        </w:tc>
        <w:tc>
          <w:tcPr>
            <w:tcW w:w="1770" w:type="dxa"/>
            <w:tcBorders>
              <w:top w:val="nil"/>
              <w:left w:val="nil"/>
              <w:bottom w:val="single" w:sz="8" w:space="0" w:color="000000"/>
              <w:right w:val="single" w:sz="8" w:space="0" w:color="000000"/>
            </w:tcBorders>
            <w:shd w:val="clear" w:color="auto" w:fill="auto"/>
            <w:vAlign w:val="center"/>
          </w:tcPr>
          <w:p w14:paraId="0B58BEF7" w14:textId="77777777" w:rsidR="0031121E" w:rsidRPr="00D654F7" w:rsidRDefault="00B9221C" w:rsidP="001779AD">
            <w:pPr>
              <w:spacing w:after="0" w:line="240" w:lineRule="auto"/>
              <w:jc w:val="right"/>
              <w:rPr>
                <w:rFonts w:ascii="Book Antiqua" w:eastAsia="Times New Roman" w:hAnsi="Book Antiqua" w:cs="Times New Roman"/>
                <w:sz w:val="24"/>
                <w:szCs w:val="24"/>
              </w:rPr>
            </w:pPr>
            <w:r w:rsidRPr="00D654F7">
              <w:rPr>
                <w:rFonts w:ascii="Book Antiqua" w:eastAsia="Times New Roman" w:hAnsi="Book Antiqua" w:cs="Times New Roman"/>
                <w:sz w:val="24"/>
                <w:szCs w:val="24"/>
              </w:rPr>
              <w:t>0.572</w:t>
            </w:r>
          </w:p>
        </w:tc>
        <w:tc>
          <w:tcPr>
            <w:tcW w:w="1515" w:type="dxa"/>
            <w:tcBorders>
              <w:top w:val="nil"/>
              <w:left w:val="nil"/>
              <w:bottom w:val="single" w:sz="8" w:space="0" w:color="000000"/>
              <w:right w:val="single" w:sz="8" w:space="0" w:color="000000"/>
            </w:tcBorders>
            <w:shd w:val="clear" w:color="auto" w:fill="auto"/>
            <w:vAlign w:val="center"/>
          </w:tcPr>
          <w:p w14:paraId="66A2C05A"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0.843</w:t>
            </w:r>
          </w:p>
        </w:tc>
      </w:tr>
      <w:tr w:rsidR="0031121E" w:rsidRPr="00D654F7" w14:paraId="5405D66A" w14:textId="77777777">
        <w:trPr>
          <w:trHeight w:val="315"/>
          <w:jc w:val="center"/>
        </w:trPr>
        <w:tc>
          <w:tcPr>
            <w:tcW w:w="960" w:type="dxa"/>
            <w:tcBorders>
              <w:top w:val="nil"/>
              <w:left w:val="single" w:sz="8" w:space="0" w:color="000000"/>
              <w:bottom w:val="single" w:sz="8" w:space="0" w:color="000000"/>
              <w:right w:val="single" w:sz="8" w:space="0" w:color="000000"/>
            </w:tcBorders>
            <w:shd w:val="clear" w:color="auto" w:fill="auto"/>
            <w:vAlign w:val="center"/>
          </w:tcPr>
          <w:p w14:paraId="5C639BE5"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Y.2</w:t>
            </w:r>
          </w:p>
        </w:tc>
        <w:tc>
          <w:tcPr>
            <w:tcW w:w="1530" w:type="dxa"/>
            <w:tcBorders>
              <w:top w:val="nil"/>
              <w:left w:val="nil"/>
              <w:bottom w:val="single" w:sz="8" w:space="0" w:color="000000"/>
              <w:right w:val="single" w:sz="8" w:space="0" w:color="000000"/>
            </w:tcBorders>
            <w:shd w:val="clear" w:color="auto" w:fill="auto"/>
            <w:vAlign w:val="center"/>
          </w:tcPr>
          <w:p w14:paraId="74607E26"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0.477</w:t>
            </w:r>
          </w:p>
        </w:tc>
        <w:tc>
          <w:tcPr>
            <w:tcW w:w="2160" w:type="dxa"/>
            <w:tcBorders>
              <w:top w:val="nil"/>
              <w:left w:val="nil"/>
              <w:bottom w:val="single" w:sz="8" w:space="0" w:color="000000"/>
              <w:right w:val="single" w:sz="8" w:space="0" w:color="000000"/>
            </w:tcBorders>
            <w:shd w:val="clear" w:color="auto" w:fill="auto"/>
            <w:vAlign w:val="center"/>
          </w:tcPr>
          <w:p w14:paraId="34D46F77"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0.565</w:t>
            </w:r>
          </w:p>
        </w:tc>
        <w:tc>
          <w:tcPr>
            <w:tcW w:w="1770" w:type="dxa"/>
            <w:tcBorders>
              <w:top w:val="nil"/>
              <w:left w:val="nil"/>
              <w:bottom w:val="single" w:sz="8" w:space="0" w:color="000000"/>
              <w:right w:val="single" w:sz="8" w:space="0" w:color="000000"/>
            </w:tcBorders>
            <w:shd w:val="clear" w:color="auto" w:fill="auto"/>
            <w:vAlign w:val="center"/>
          </w:tcPr>
          <w:p w14:paraId="54C50537" w14:textId="77777777" w:rsidR="0031121E" w:rsidRPr="00D654F7" w:rsidRDefault="00B9221C" w:rsidP="001779AD">
            <w:pPr>
              <w:spacing w:after="0" w:line="240" w:lineRule="auto"/>
              <w:jc w:val="right"/>
              <w:rPr>
                <w:rFonts w:ascii="Book Antiqua" w:eastAsia="Times New Roman" w:hAnsi="Book Antiqua" w:cs="Times New Roman"/>
                <w:sz w:val="24"/>
                <w:szCs w:val="24"/>
              </w:rPr>
            </w:pPr>
            <w:r w:rsidRPr="00D654F7">
              <w:rPr>
                <w:rFonts w:ascii="Book Antiqua" w:eastAsia="Times New Roman" w:hAnsi="Book Antiqua" w:cs="Times New Roman"/>
                <w:sz w:val="24"/>
                <w:szCs w:val="24"/>
              </w:rPr>
              <w:t>0.538</w:t>
            </w:r>
          </w:p>
        </w:tc>
        <w:tc>
          <w:tcPr>
            <w:tcW w:w="1515" w:type="dxa"/>
            <w:tcBorders>
              <w:top w:val="nil"/>
              <w:left w:val="nil"/>
              <w:bottom w:val="single" w:sz="8" w:space="0" w:color="000000"/>
              <w:right w:val="single" w:sz="8" w:space="0" w:color="000000"/>
            </w:tcBorders>
            <w:shd w:val="clear" w:color="auto" w:fill="auto"/>
            <w:vAlign w:val="center"/>
          </w:tcPr>
          <w:p w14:paraId="2565F8C8"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0.791</w:t>
            </w:r>
          </w:p>
        </w:tc>
      </w:tr>
      <w:tr w:rsidR="0031121E" w:rsidRPr="00D654F7" w14:paraId="607C4574" w14:textId="77777777">
        <w:trPr>
          <w:trHeight w:val="315"/>
          <w:jc w:val="center"/>
        </w:trPr>
        <w:tc>
          <w:tcPr>
            <w:tcW w:w="960" w:type="dxa"/>
            <w:tcBorders>
              <w:top w:val="nil"/>
              <w:left w:val="single" w:sz="8" w:space="0" w:color="000000"/>
              <w:bottom w:val="single" w:sz="8" w:space="0" w:color="000000"/>
              <w:right w:val="single" w:sz="8" w:space="0" w:color="000000"/>
            </w:tcBorders>
            <w:shd w:val="clear" w:color="auto" w:fill="auto"/>
            <w:vAlign w:val="center"/>
          </w:tcPr>
          <w:p w14:paraId="7EFF7E77"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Y.3</w:t>
            </w:r>
          </w:p>
        </w:tc>
        <w:tc>
          <w:tcPr>
            <w:tcW w:w="1530" w:type="dxa"/>
            <w:tcBorders>
              <w:top w:val="nil"/>
              <w:left w:val="nil"/>
              <w:bottom w:val="single" w:sz="8" w:space="0" w:color="000000"/>
              <w:right w:val="single" w:sz="8" w:space="0" w:color="000000"/>
            </w:tcBorders>
            <w:shd w:val="clear" w:color="auto" w:fill="auto"/>
            <w:vAlign w:val="center"/>
          </w:tcPr>
          <w:p w14:paraId="2AA392E5"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0.576</w:t>
            </w:r>
          </w:p>
        </w:tc>
        <w:tc>
          <w:tcPr>
            <w:tcW w:w="2160" w:type="dxa"/>
            <w:tcBorders>
              <w:top w:val="nil"/>
              <w:left w:val="nil"/>
              <w:bottom w:val="single" w:sz="8" w:space="0" w:color="000000"/>
              <w:right w:val="single" w:sz="8" w:space="0" w:color="000000"/>
            </w:tcBorders>
            <w:shd w:val="clear" w:color="auto" w:fill="auto"/>
            <w:vAlign w:val="center"/>
          </w:tcPr>
          <w:p w14:paraId="604711D0"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0.546</w:t>
            </w:r>
          </w:p>
        </w:tc>
        <w:tc>
          <w:tcPr>
            <w:tcW w:w="1770" w:type="dxa"/>
            <w:tcBorders>
              <w:top w:val="nil"/>
              <w:left w:val="nil"/>
              <w:bottom w:val="single" w:sz="8" w:space="0" w:color="000000"/>
              <w:right w:val="single" w:sz="8" w:space="0" w:color="000000"/>
            </w:tcBorders>
            <w:shd w:val="clear" w:color="auto" w:fill="auto"/>
            <w:vAlign w:val="center"/>
          </w:tcPr>
          <w:p w14:paraId="2183425D" w14:textId="77777777" w:rsidR="0031121E" w:rsidRPr="00D654F7" w:rsidRDefault="00B9221C" w:rsidP="001779AD">
            <w:pPr>
              <w:spacing w:after="0" w:line="240" w:lineRule="auto"/>
              <w:jc w:val="right"/>
              <w:rPr>
                <w:rFonts w:ascii="Book Antiqua" w:eastAsia="Times New Roman" w:hAnsi="Book Antiqua" w:cs="Times New Roman"/>
                <w:sz w:val="24"/>
                <w:szCs w:val="24"/>
              </w:rPr>
            </w:pPr>
            <w:r w:rsidRPr="00D654F7">
              <w:rPr>
                <w:rFonts w:ascii="Book Antiqua" w:eastAsia="Times New Roman" w:hAnsi="Book Antiqua" w:cs="Times New Roman"/>
                <w:sz w:val="24"/>
                <w:szCs w:val="24"/>
              </w:rPr>
              <w:t>0.649</w:t>
            </w:r>
          </w:p>
        </w:tc>
        <w:tc>
          <w:tcPr>
            <w:tcW w:w="1515" w:type="dxa"/>
            <w:tcBorders>
              <w:top w:val="nil"/>
              <w:left w:val="nil"/>
              <w:bottom w:val="single" w:sz="8" w:space="0" w:color="000000"/>
              <w:right w:val="single" w:sz="8" w:space="0" w:color="000000"/>
            </w:tcBorders>
            <w:shd w:val="clear" w:color="auto" w:fill="auto"/>
            <w:vAlign w:val="center"/>
          </w:tcPr>
          <w:p w14:paraId="4395AF8B"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0.846</w:t>
            </w:r>
          </w:p>
        </w:tc>
      </w:tr>
      <w:tr w:rsidR="0031121E" w:rsidRPr="00D654F7" w14:paraId="6674FC07" w14:textId="77777777">
        <w:trPr>
          <w:trHeight w:val="315"/>
          <w:jc w:val="center"/>
        </w:trPr>
        <w:tc>
          <w:tcPr>
            <w:tcW w:w="960" w:type="dxa"/>
            <w:tcBorders>
              <w:top w:val="nil"/>
              <w:left w:val="single" w:sz="8" w:space="0" w:color="000000"/>
              <w:bottom w:val="single" w:sz="8" w:space="0" w:color="000000"/>
              <w:right w:val="single" w:sz="8" w:space="0" w:color="000000"/>
            </w:tcBorders>
            <w:shd w:val="clear" w:color="auto" w:fill="auto"/>
            <w:vAlign w:val="center"/>
          </w:tcPr>
          <w:p w14:paraId="1A816ACE"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Y.4</w:t>
            </w:r>
          </w:p>
        </w:tc>
        <w:tc>
          <w:tcPr>
            <w:tcW w:w="1530" w:type="dxa"/>
            <w:tcBorders>
              <w:top w:val="nil"/>
              <w:left w:val="nil"/>
              <w:bottom w:val="single" w:sz="8" w:space="0" w:color="000000"/>
              <w:right w:val="single" w:sz="8" w:space="0" w:color="000000"/>
            </w:tcBorders>
            <w:shd w:val="clear" w:color="auto" w:fill="auto"/>
            <w:vAlign w:val="center"/>
          </w:tcPr>
          <w:p w14:paraId="71EB1762"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0.424</w:t>
            </w:r>
          </w:p>
        </w:tc>
        <w:tc>
          <w:tcPr>
            <w:tcW w:w="2160" w:type="dxa"/>
            <w:tcBorders>
              <w:top w:val="nil"/>
              <w:left w:val="nil"/>
              <w:bottom w:val="single" w:sz="8" w:space="0" w:color="000000"/>
              <w:right w:val="single" w:sz="8" w:space="0" w:color="000000"/>
            </w:tcBorders>
            <w:shd w:val="clear" w:color="auto" w:fill="auto"/>
            <w:vAlign w:val="center"/>
          </w:tcPr>
          <w:p w14:paraId="62ECED6E"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0.506</w:t>
            </w:r>
          </w:p>
        </w:tc>
        <w:tc>
          <w:tcPr>
            <w:tcW w:w="1770" w:type="dxa"/>
            <w:tcBorders>
              <w:top w:val="nil"/>
              <w:left w:val="nil"/>
              <w:bottom w:val="single" w:sz="8" w:space="0" w:color="000000"/>
              <w:right w:val="single" w:sz="8" w:space="0" w:color="000000"/>
            </w:tcBorders>
            <w:shd w:val="clear" w:color="auto" w:fill="auto"/>
            <w:vAlign w:val="center"/>
          </w:tcPr>
          <w:p w14:paraId="365D8548" w14:textId="77777777" w:rsidR="0031121E" w:rsidRPr="00D654F7" w:rsidRDefault="00B9221C" w:rsidP="001779AD">
            <w:pPr>
              <w:spacing w:after="0" w:line="240" w:lineRule="auto"/>
              <w:jc w:val="right"/>
              <w:rPr>
                <w:rFonts w:ascii="Book Antiqua" w:eastAsia="Times New Roman" w:hAnsi="Book Antiqua" w:cs="Times New Roman"/>
                <w:sz w:val="24"/>
                <w:szCs w:val="24"/>
              </w:rPr>
            </w:pPr>
            <w:r w:rsidRPr="00D654F7">
              <w:rPr>
                <w:rFonts w:ascii="Book Antiqua" w:eastAsia="Times New Roman" w:hAnsi="Book Antiqua" w:cs="Times New Roman"/>
                <w:sz w:val="24"/>
                <w:szCs w:val="24"/>
              </w:rPr>
              <w:t>0.437</w:t>
            </w:r>
          </w:p>
        </w:tc>
        <w:tc>
          <w:tcPr>
            <w:tcW w:w="1515" w:type="dxa"/>
            <w:tcBorders>
              <w:top w:val="nil"/>
              <w:left w:val="nil"/>
              <w:bottom w:val="single" w:sz="8" w:space="0" w:color="000000"/>
              <w:right w:val="single" w:sz="8" w:space="0" w:color="000000"/>
            </w:tcBorders>
            <w:shd w:val="clear" w:color="auto" w:fill="auto"/>
            <w:vAlign w:val="center"/>
          </w:tcPr>
          <w:p w14:paraId="3CCED959"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0.773</w:t>
            </w:r>
          </w:p>
        </w:tc>
      </w:tr>
    </w:tbl>
    <w:p w14:paraId="30F58A6F" w14:textId="77777777" w:rsidR="0031121E" w:rsidRPr="00D654F7" w:rsidRDefault="00B9221C" w:rsidP="001779AD">
      <w:pPr>
        <w:spacing w:after="0" w:line="240" w:lineRule="auto"/>
        <w:jc w:val="center"/>
        <w:rPr>
          <w:rFonts w:ascii="Book Antiqua" w:eastAsia="Times New Roman" w:hAnsi="Book Antiqua" w:cs="Times New Roman"/>
          <w:sz w:val="24"/>
          <w:szCs w:val="24"/>
        </w:rPr>
      </w:pPr>
      <w:r w:rsidRPr="00D654F7">
        <w:rPr>
          <w:rFonts w:ascii="Book Antiqua" w:eastAsia="Times New Roman" w:hAnsi="Book Antiqua" w:cs="Times New Roman"/>
          <w:sz w:val="24"/>
          <w:szCs w:val="24"/>
        </w:rPr>
        <w:t>Source: Processed data, 2025</w:t>
      </w:r>
    </w:p>
    <w:p w14:paraId="56CCA1C2" w14:textId="77777777" w:rsidR="0031121E" w:rsidRPr="00D654F7" w:rsidRDefault="001779AD" w:rsidP="001779AD">
      <w:pPr>
        <w:pBdr>
          <w:top w:val="nil"/>
          <w:left w:val="nil"/>
          <w:bottom w:val="nil"/>
          <w:right w:val="nil"/>
          <w:between w:val="nil"/>
        </w:pBdr>
        <w:spacing w:after="0" w:line="240" w:lineRule="auto"/>
        <w:ind w:firstLine="567"/>
        <w:jc w:val="both"/>
        <w:rPr>
          <w:rFonts w:ascii="Book Antiqua" w:eastAsia="Times New Roman" w:hAnsi="Book Antiqua" w:cs="Times New Roman"/>
          <w:color w:val="000000"/>
          <w:sz w:val="24"/>
          <w:szCs w:val="24"/>
        </w:rPr>
      </w:pPr>
      <w:r w:rsidRPr="001779AD">
        <w:rPr>
          <w:rFonts w:ascii="Book Antiqua" w:hAnsi="Book Antiqua" w:cs="Times New Roman"/>
          <w:sz w:val="24"/>
          <w:szCs w:val="24"/>
        </w:rPr>
        <w:t>Based on the cross-loading analysis in Table 9, all indicators show higher loading values ​​on their original constructs compared to other constructs, indicating no overlap between constructs. This indicates that the discriminant validity criteria based on the cross-loading approach have been met, thus the measurement model is valid for further analysis. Furthermore, discriminant validity testing was also conducted using heterotrait–monotrait ratio (HTMT) analysis, with an accepted threshold of 0.90. If the HTMT value exceeds this limit, the construct is considered not to meet the discriminant validity criteria.</w:t>
      </w:r>
    </w:p>
    <w:p w14:paraId="03667CBA" w14:textId="77777777" w:rsidR="0031121E" w:rsidRPr="00D654F7" w:rsidRDefault="00B9221C" w:rsidP="001779AD">
      <w:pPr>
        <w:pBdr>
          <w:top w:val="nil"/>
          <w:left w:val="nil"/>
          <w:bottom w:val="nil"/>
          <w:right w:val="nil"/>
          <w:between w:val="nil"/>
        </w:pBdr>
        <w:spacing w:after="0" w:line="240" w:lineRule="auto"/>
        <w:jc w:val="center"/>
        <w:rPr>
          <w:rFonts w:ascii="Book Antiqua" w:eastAsia="Times New Roman" w:hAnsi="Book Antiqua" w:cs="Times New Roman"/>
          <w:color w:val="000000"/>
          <w:sz w:val="24"/>
          <w:szCs w:val="24"/>
        </w:rPr>
      </w:pPr>
      <w:bookmarkStart w:id="11" w:name="_heading=h.8l2cwhrif31n" w:colFirst="0" w:colLast="0"/>
      <w:bookmarkEnd w:id="11"/>
      <w:r w:rsidRPr="00D654F7">
        <w:rPr>
          <w:rFonts w:ascii="Book Antiqua" w:eastAsia="Times New Roman" w:hAnsi="Book Antiqua" w:cs="Times New Roman"/>
          <w:b/>
          <w:bCs/>
          <w:color w:val="000000"/>
          <w:sz w:val="24"/>
          <w:szCs w:val="24"/>
        </w:rPr>
        <w:t>Table 10. Heterotrait-monotrait Ratio (HTMT)</w:t>
      </w:r>
    </w:p>
    <w:tbl>
      <w:tblPr>
        <w:tblStyle w:val="a8"/>
        <w:tblW w:w="9204" w:type="dxa"/>
        <w:jc w:val="center"/>
        <w:tblLayout w:type="fixed"/>
        <w:tblLook w:val="0400" w:firstRow="0" w:lastRow="0" w:firstColumn="0" w:lastColumn="0" w:noHBand="0" w:noVBand="1"/>
      </w:tblPr>
      <w:tblGrid>
        <w:gridCol w:w="2798"/>
        <w:gridCol w:w="1587"/>
        <w:gridCol w:w="1134"/>
        <w:gridCol w:w="2126"/>
        <w:gridCol w:w="1559"/>
      </w:tblGrid>
      <w:tr w:rsidR="0031121E" w:rsidRPr="00D654F7" w14:paraId="7F788928" w14:textId="77777777" w:rsidTr="00D12F50">
        <w:trPr>
          <w:trHeight w:val="315"/>
          <w:jc w:val="center"/>
        </w:trPr>
        <w:tc>
          <w:tcPr>
            <w:tcW w:w="279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DCB989B" w14:textId="77777777" w:rsidR="0031121E" w:rsidRPr="00D654F7" w:rsidRDefault="0031121E" w:rsidP="001779AD">
            <w:pPr>
              <w:spacing w:after="0" w:line="240" w:lineRule="auto"/>
              <w:rPr>
                <w:rFonts w:ascii="Book Antiqua" w:eastAsia="Times New Roman" w:hAnsi="Book Antiqua" w:cs="Times New Roman"/>
                <w:b/>
                <w:bCs/>
                <w:color w:val="000000"/>
                <w:sz w:val="24"/>
                <w:szCs w:val="24"/>
              </w:rPr>
            </w:pPr>
          </w:p>
        </w:tc>
        <w:tc>
          <w:tcPr>
            <w:tcW w:w="1587" w:type="dxa"/>
            <w:tcBorders>
              <w:top w:val="single" w:sz="8" w:space="0" w:color="000000"/>
              <w:left w:val="nil"/>
              <w:bottom w:val="single" w:sz="8" w:space="0" w:color="000000"/>
              <w:right w:val="single" w:sz="8" w:space="0" w:color="000000"/>
            </w:tcBorders>
            <w:shd w:val="clear" w:color="auto" w:fill="auto"/>
            <w:vAlign w:val="center"/>
          </w:tcPr>
          <w:p w14:paraId="56AA2C27" w14:textId="77777777" w:rsidR="0031121E" w:rsidRPr="00D654F7" w:rsidRDefault="00B9221C" w:rsidP="001779AD">
            <w:pPr>
              <w:spacing w:after="0" w:line="240" w:lineRule="auto"/>
              <w:jc w:val="right"/>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Employee Engagement (X1)</w:t>
            </w:r>
          </w:p>
        </w:tc>
        <w:tc>
          <w:tcPr>
            <w:tcW w:w="1134" w:type="dxa"/>
            <w:tcBorders>
              <w:top w:val="single" w:sz="8" w:space="0" w:color="000000"/>
              <w:left w:val="nil"/>
              <w:bottom w:val="single" w:sz="8" w:space="0" w:color="000000"/>
              <w:right w:val="single" w:sz="8" w:space="0" w:color="000000"/>
            </w:tcBorders>
            <w:shd w:val="clear" w:color="auto" w:fill="auto"/>
            <w:vAlign w:val="center"/>
          </w:tcPr>
          <w:p w14:paraId="596CB6B3" w14:textId="77777777" w:rsidR="0031121E" w:rsidRPr="00D654F7" w:rsidRDefault="00B9221C" w:rsidP="001779AD">
            <w:pPr>
              <w:spacing w:after="0" w:line="240" w:lineRule="auto"/>
              <w:jc w:val="right"/>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Meaning of Work (M)</w:t>
            </w:r>
          </w:p>
        </w:tc>
        <w:tc>
          <w:tcPr>
            <w:tcW w:w="2126" w:type="dxa"/>
            <w:tcBorders>
              <w:top w:val="single" w:sz="8" w:space="0" w:color="000000"/>
              <w:left w:val="nil"/>
              <w:bottom w:val="single" w:sz="8" w:space="0" w:color="000000"/>
              <w:right w:val="single" w:sz="8" w:space="0" w:color="000000"/>
            </w:tcBorders>
            <w:shd w:val="clear" w:color="auto" w:fill="auto"/>
            <w:vAlign w:val="center"/>
          </w:tcPr>
          <w:p w14:paraId="3AA9C566" w14:textId="77777777" w:rsidR="0031121E" w:rsidRPr="00D654F7" w:rsidRDefault="00B9221C" w:rsidP="001779AD">
            <w:pPr>
              <w:spacing w:after="0" w:line="240" w:lineRule="auto"/>
              <w:jc w:val="right"/>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Perceived Usefulness (X2)</w:t>
            </w:r>
          </w:p>
        </w:tc>
        <w:tc>
          <w:tcPr>
            <w:tcW w:w="1559" w:type="dxa"/>
            <w:tcBorders>
              <w:top w:val="single" w:sz="8" w:space="0" w:color="000000"/>
              <w:left w:val="nil"/>
              <w:bottom w:val="single" w:sz="8" w:space="0" w:color="000000"/>
              <w:right w:val="single" w:sz="8" w:space="0" w:color="000000"/>
            </w:tcBorders>
            <w:shd w:val="clear" w:color="auto" w:fill="auto"/>
            <w:vAlign w:val="center"/>
          </w:tcPr>
          <w:p w14:paraId="1E06A1C3" w14:textId="77777777" w:rsidR="0031121E" w:rsidRPr="00D654F7" w:rsidRDefault="00B9221C" w:rsidP="001779AD">
            <w:pPr>
              <w:spacing w:after="0" w:line="240" w:lineRule="auto"/>
              <w:jc w:val="right"/>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Employee Retention (Y)</w:t>
            </w:r>
          </w:p>
        </w:tc>
      </w:tr>
      <w:tr w:rsidR="0031121E" w:rsidRPr="00D654F7" w14:paraId="1352DA1E" w14:textId="77777777" w:rsidTr="00D12F50">
        <w:trPr>
          <w:trHeight w:val="315"/>
          <w:jc w:val="center"/>
        </w:trPr>
        <w:tc>
          <w:tcPr>
            <w:tcW w:w="2798" w:type="dxa"/>
            <w:tcBorders>
              <w:top w:val="nil"/>
              <w:left w:val="single" w:sz="8" w:space="0" w:color="000000"/>
              <w:bottom w:val="single" w:sz="8" w:space="0" w:color="000000"/>
              <w:right w:val="single" w:sz="8" w:space="0" w:color="000000"/>
            </w:tcBorders>
            <w:shd w:val="clear" w:color="auto" w:fill="auto"/>
            <w:vAlign w:val="center"/>
          </w:tcPr>
          <w:p w14:paraId="4E32C322"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Employee Engagement (X1)</w:t>
            </w:r>
          </w:p>
        </w:tc>
        <w:tc>
          <w:tcPr>
            <w:tcW w:w="1587" w:type="dxa"/>
            <w:tcBorders>
              <w:top w:val="nil"/>
              <w:left w:val="nil"/>
              <w:bottom w:val="single" w:sz="8" w:space="0" w:color="000000"/>
              <w:right w:val="single" w:sz="8" w:space="0" w:color="000000"/>
            </w:tcBorders>
            <w:shd w:val="clear" w:color="auto" w:fill="auto"/>
            <w:vAlign w:val="center"/>
          </w:tcPr>
          <w:p w14:paraId="0C74D615"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c>
          <w:tcPr>
            <w:tcW w:w="1134" w:type="dxa"/>
            <w:tcBorders>
              <w:top w:val="nil"/>
              <w:left w:val="nil"/>
              <w:bottom w:val="single" w:sz="8" w:space="0" w:color="000000"/>
              <w:right w:val="single" w:sz="8" w:space="0" w:color="000000"/>
            </w:tcBorders>
            <w:shd w:val="clear" w:color="auto" w:fill="auto"/>
            <w:vAlign w:val="center"/>
          </w:tcPr>
          <w:p w14:paraId="7945983A"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c>
          <w:tcPr>
            <w:tcW w:w="2126" w:type="dxa"/>
            <w:tcBorders>
              <w:top w:val="nil"/>
              <w:left w:val="nil"/>
              <w:bottom w:val="single" w:sz="8" w:space="0" w:color="000000"/>
              <w:right w:val="single" w:sz="8" w:space="0" w:color="000000"/>
            </w:tcBorders>
            <w:shd w:val="clear" w:color="auto" w:fill="auto"/>
            <w:vAlign w:val="center"/>
          </w:tcPr>
          <w:p w14:paraId="7DEDD689"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c>
          <w:tcPr>
            <w:tcW w:w="1559" w:type="dxa"/>
            <w:tcBorders>
              <w:top w:val="nil"/>
              <w:left w:val="nil"/>
              <w:bottom w:val="single" w:sz="8" w:space="0" w:color="000000"/>
              <w:right w:val="single" w:sz="8" w:space="0" w:color="000000"/>
            </w:tcBorders>
            <w:shd w:val="clear" w:color="auto" w:fill="auto"/>
            <w:vAlign w:val="center"/>
          </w:tcPr>
          <w:p w14:paraId="284C5482"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r>
      <w:tr w:rsidR="0031121E" w:rsidRPr="00D654F7" w14:paraId="5DD24729" w14:textId="77777777" w:rsidTr="00D12F50">
        <w:trPr>
          <w:trHeight w:val="315"/>
          <w:jc w:val="center"/>
        </w:trPr>
        <w:tc>
          <w:tcPr>
            <w:tcW w:w="2798" w:type="dxa"/>
            <w:tcBorders>
              <w:top w:val="nil"/>
              <w:left w:val="single" w:sz="8" w:space="0" w:color="000000"/>
              <w:bottom w:val="single" w:sz="8" w:space="0" w:color="000000"/>
              <w:right w:val="single" w:sz="8" w:space="0" w:color="000000"/>
            </w:tcBorders>
            <w:shd w:val="clear" w:color="auto" w:fill="auto"/>
            <w:vAlign w:val="center"/>
          </w:tcPr>
          <w:p w14:paraId="6C867109"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Meaning of Work (M)</w:t>
            </w:r>
          </w:p>
        </w:tc>
        <w:tc>
          <w:tcPr>
            <w:tcW w:w="1587" w:type="dxa"/>
            <w:tcBorders>
              <w:top w:val="nil"/>
              <w:left w:val="nil"/>
              <w:bottom w:val="single" w:sz="8" w:space="0" w:color="000000"/>
              <w:right w:val="single" w:sz="8" w:space="0" w:color="000000"/>
            </w:tcBorders>
            <w:shd w:val="clear" w:color="auto" w:fill="auto"/>
            <w:vAlign w:val="center"/>
          </w:tcPr>
          <w:p w14:paraId="7CAB52B0"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0.685</w:t>
            </w:r>
          </w:p>
        </w:tc>
        <w:tc>
          <w:tcPr>
            <w:tcW w:w="1134" w:type="dxa"/>
            <w:tcBorders>
              <w:top w:val="nil"/>
              <w:left w:val="nil"/>
              <w:bottom w:val="single" w:sz="8" w:space="0" w:color="000000"/>
              <w:right w:val="single" w:sz="8" w:space="0" w:color="000000"/>
            </w:tcBorders>
            <w:shd w:val="clear" w:color="auto" w:fill="auto"/>
            <w:vAlign w:val="center"/>
          </w:tcPr>
          <w:p w14:paraId="539023D8"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c>
          <w:tcPr>
            <w:tcW w:w="2126" w:type="dxa"/>
            <w:tcBorders>
              <w:top w:val="nil"/>
              <w:left w:val="nil"/>
              <w:bottom w:val="single" w:sz="8" w:space="0" w:color="000000"/>
              <w:right w:val="single" w:sz="8" w:space="0" w:color="000000"/>
            </w:tcBorders>
            <w:shd w:val="clear" w:color="auto" w:fill="auto"/>
            <w:vAlign w:val="center"/>
          </w:tcPr>
          <w:p w14:paraId="5BBC03B0"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c>
          <w:tcPr>
            <w:tcW w:w="1559" w:type="dxa"/>
            <w:tcBorders>
              <w:top w:val="nil"/>
              <w:left w:val="nil"/>
              <w:bottom w:val="single" w:sz="8" w:space="0" w:color="000000"/>
              <w:right w:val="single" w:sz="8" w:space="0" w:color="000000"/>
            </w:tcBorders>
            <w:shd w:val="clear" w:color="auto" w:fill="auto"/>
            <w:vAlign w:val="center"/>
          </w:tcPr>
          <w:p w14:paraId="56E65831"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r>
      <w:tr w:rsidR="0031121E" w:rsidRPr="00D654F7" w14:paraId="5754F5FD" w14:textId="77777777" w:rsidTr="00D12F50">
        <w:trPr>
          <w:trHeight w:val="315"/>
          <w:jc w:val="center"/>
        </w:trPr>
        <w:tc>
          <w:tcPr>
            <w:tcW w:w="2798" w:type="dxa"/>
            <w:tcBorders>
              <w:top w:val="nil"/>
              <w:left w:val="single" w:sz="8" w:space="0" w:color="000000"/>
              <w:bottom w:val="single" w:sz="8" w:space="0" w:color="000000"/>
              <w:right w:val="single" w:sz="8" w:space="0" w:color="000000"/>
            </w:tcBorders>
            <w:shd w:val="clear" w:color="auto" w:fill="auto"/>
            <w:vAlign w:val="center"/>
          </w:tcPr>
          <w:p w14:paraId="6700D74B"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Perceived Usefulness (X2)</w:t>
            </w:r>
          </w:p>
        </w:tc>
        <w:tc>
          <w:tcPr>
            <w:tcW w:w="1587" w:type="dxa"/>
            <w:tcBorders>
              <w:top w:val="nil"/>
              <w:left w:val="nil"/>
              <w:bottom w:val="single" w:sz="8" w:space="0" w:color="000000"/>
              <w:right w:val="single" w:sz="8" w:space="0" w:color="000000"/>
            </w:tcBorders>
            <w:shd w:val="clear" w:color="auto" w:fill="auto"/>
            <w:vAlign w:val="center"/>
          </w:tcPr>
          <w:p w14:paraId="26504B90"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0.541</w:t>
            </w:r>
          </w:p>
        </w:tc>
        <w:tc>
          <w:tcPr>
            <w:tcW w:w="1134" w:type="dxa"/>
            <w:tcBorders>
              <w:top w:val="nil"/>
              <w:left w:val="nil"/>
              <w:bottom w:val="single" w:sz="8" w:space="0" w:color="000000"/>
              <w:right w:val="single" w:sz="8" w:space="0" w:color="000000"/>
            </w:tcBorders>
            <w:shd w:val="clear" w:color="auto" w:fill="auto"/>
            <w:vAlign w:val="center"/>
          </w:tcPr>
          <w:p w14:paraId="716F9BB1"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0.696</w:t>
            </w:r>
          </w:p>
        </w:tc>
        <w:tc>
          <w:tcPr>
            <w:tcW w:w="2126" w:type="dxa"/>
            <w:tcBorders>
              <w:top w:val="nil"/>
              <w:left w:val="nil"/>
              <w:bottom w:val="single" w:sz="8" w:space="0" w:color="000000"/>
              <w:right w:val="single" w:sz="8" w:space="0" w:color="000000"/>
            </w:tcBorders>
            <w:shd w:val="clear" w:color="auto" w:fill="auto"/>
            <w:vAlign w:val="center"/>
          </w:tcPr>
          <w:p w14:paraId="61B4C0F9"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c>
          <w:tcPr>
            <w:tcW w:w="1559" w:type="dxa"/>
            <w:tcBorders>
              <w:top w:val="nil"/>
              <w:left w:val="nil"/>
              <w:bottom w:val="single" w:sz="8" w:space="0" w:color="000000"/>
              <w:right w:val="single" w:sz="8" w:space="0" w:color="000000"/>
            </w:tcBorders>
            <w:shd w:val="clear" w:color="auto" w:fill="auto"/>
            <w:vAlign w:val="center"/>
          </w:tcPr>
          <w:p w14:paraId="6E5BEB0B"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r>
      <w:tr w:rsidR="0031121E" w:rsidRPr="00D654F7" w14:paraId="0BFD3B48" w14:textId="77777777" w:rsidTr="00D12F50">
        <w:trPr>
          <w:trHeight w:val="315"/>
          <w:jc w:val="center"/>
        </w:trPr>
        <w:tc>
          <w:tcPr>
            <w:tcW w:w="2798" w:type="dxa"/>
            <w:tcBorders>
              <w:top w:val="nil"/>
              <w:left w:val="single" w:sz="8" w:space="0" w:color="000000"/>
              <w:bottom w:val="single" w:sz="8" w:space="0" w:color="000000"/>
              <w:right w:val="single" w:sz="8" w:space="0" w:color="000000"/>
            </w:tcBorders>
            <w:shd w:val="clear" w:color="auto" w:fill="auto"/>
            <w:vAlign w:val="center"/>
          </w:tcPr>
          <w:p w14:paraId="716DC173"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Employee Retention (Y)</w:t>
            </w:r>
          </w:p>
        </w:tc>
        <w:tc>
          <w:tcPr>
            <w:tcW w:w="1587" w:type="dxa"/>
            <w:tcBorders>
              <w:top w:val="nil"/>
              <w:left w:val="nil"/>
              <w:bottom w:val="single" w:sz="8" w:space="0" w:color="000000"/>
              <w:right w:val="single" w:sz="8" w:space="0" w:color="000000"/>
            </w:tcBorders>
            <w:shd w:val="clear" w:color="auto" w:fill="auto"/>
            <w:vAlign w:val="center"/>
          </w:tcPr>
          <w:p w14:paraId="1AA3511D"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0.782</w:t>
            </w:r>
          </w:p>
        </w:tc>
        <w:tc>
          <w:tcPr>
            <w:tcW w:w="1134" w:type="dxa"/>
            <w:tcBorders>
              <w:top w:val="nil"/>
              <w:left w:val="nil"/>
              <w:bottom w:val="single" w:sz="8" w:space="0" w:color="000000"/>
              <w:right w:val="single" w:sz="8" w:space="0" w:color="000000"/>
            </w:tcBorders>
            <w:shd w:val="clear" w:color="auto" w:fill="auto"/>
            <w:vAlign w:val="center"/>
          </w:tcPr>
          <w:p w14:paraId="066B9497"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0.819</w:t>
            </w:r>
          </w:p>
        </w:tc>
        <w:tc>
          <w:tcPr>
            <w:tcW w:w="2126" w:type="dxa"/>
            <w:tcBorders>
              <w:top w:val="nil"/>
              <w:left w:val="nil"/>
              <w:bottom w:val="single" w:sz="8" w:space="0" w:color="000000"/>
              <w:right w:val="single" w:sz="8" w:space="0" w:color="000000"/>
            </w:tcBorders>
            <w:shd w:val="clear" w:color="auto" w:fill="auto"/>
            <w:vAlign w:val="center"/>
          </w:tcPr>
          <w:p w14:paraId="68300A2B"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0.825</w:t>
            </w:r>
          </w:p>
        </w:tc>
        <w:tc>
          <w:tcPr>
            <w:tcW w:w="1559" w:type="dxa"/>
            <w:tcBorders>
              <w:top w:val="nil"/>
              <w:left w:val="nil"/>
              <w:bottom w:val="single" w:sz="8" w:space="0" w:color="000000"/>
              <w:right w:val="single" w:sz="8" w:space="0" w:color="000000"/>
            </w:tcBorders>
            <w:shd w:val="clear" w:color="auto" w:fill="auto"/>
            <w:vAlign w:val="center"/>
          </w:tcPr>
          <w:p w14:paraId="1602FEFF"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r>
    </w:tbl>
    <w:p w14:paraId="0CD7E6F1" w14:textId="77777777" w:rsidR="0031121E" w:rsidRPr="00D654F7" w:rsidRDefault="00B9221C" w:rsidP="001779AD">
      <w:pPr>
        <w:spacing w:after="0" w:line="240" w:lineRule="auto"/>
        <w:jc w:val="center"/>
        <w:rPr>
          <w:rFonts w:ascii="Book Antiqua" w:eastAsia="Times New Roman" w:hAnsi="Book Antiqua" w:cs="Times New Roman"/>
          <w:sz w:val="24"/>
          <w:szCs w:val="24"/>
        </w:rPr>
      </w:pPr>
      <w:r w:rsidRPr="00D654F7">
        <w:rPr>
          <w:rFonts w:ascii="Book Antiqua" w:eastAsia="Times New Roman" w:hAnsi="Book Antiqua" w:cs="Times New Roman"/>
          <w:sz w:val="24"/>
          <w:szCs w:val="24"/>
        </w:rPr>
        <w:t>Source: Processed data, 2025</w:t>
      </w:r>
    </w:p>
    <w:p w14:paraId="51C35E5A" w14:textId="77777777" w:rsidR="0031121E" w:rsidRPr="00D654F7" w:rsidRDefault="00E36E88" w:rsidP="001779AD">
      <w:pPr>
        <w:pBdr>
          <w:top w:val="nil"/>
          <w:left w:val="nil"/>
          <w:bottom w:val="nil"/>
          <w:right w:val="nil"/>
          <w:between w:val="nil"/>
        </w:pBdr>
        <w:spacing w:after="0" w:line="240" w:lineRule="auto"/>
        <w:ind w:firstLine="567"/>
        <w:jc w:val="both"/>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The heterotrait–monotrait ratio (HTMT) test results presented in the table show that all HTMT values ​​between constructs are below the recommended threshold of 0.90. This finding indicates that each construct in the model has an adequate level of differentiation and does not overlap with other constructs. Therefore, discriminant validity is declared fulfilled based on the HTMT approach, so it can be concluded that each construct consistently represents a different concept.</w:t>
      </w:r>
    </w:p>
    <w:p w14:paraId="4F078261" w14:textId="77777777" w:rsidR="0031121E" w:rsidRPr="00D654F7" w:rsidRDefault="0031121E" w:rsidP="001779AD">
      <w:pPr>
        <w:pBdr>
          <w:top w:val="nil"/>
          <w:left w:val="nil"/>
          <w:bottom w:val="nil"/>
          <w:right w:val="nil"/>
          <w:between w:val="nil"/>
        </w:pBdr>
        <w:spacing w:after="0" w:line="240" w:lineRule="auto"/>
        <w:ind w:left="720"/>
        <w:jc w:val="both"/>
        <w:rPr>
          <w:rFonts w:ascii="Book Antiqua" w:eastAsia="Times New Roman" w:hAnsi="Book Antiqua" w:cs="Times New Roman"/>
          <w:color w:val="000000"/>
          <w:sz w:val="24"/>
          <w:szCs w:val="24"/>
        </w:rPr>
      </w:pPr>
    </w:p>
    <w:p w14:paraId="6E219B5A" w14:textId="77777777" w:rsidR="0031121E" w:rsidRPr="00D654F7" w:rsidRDefault="00B9221C" w:rsidP="00D52B6B">
      <w:pPr>
        <w:pBdr>
          <w:top w:val="nil"/>
          <w:left w:val="nil"/>
          <w:bottom w:val="nil"/>
          <w:right w:val="nil"/>
          <w:between w:val="nil"/>
        </w:pBdr>
        <w:spacing w:after="0" w:line="240" w:lineRule="auto"/>
        <w:jc w:val="both"/>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Structural Model Evaluation (Inner Model)</w:t>
      </w:r>
    </w:p>
    <w:p w14:paraId="1A51BCEA" w14:textId="77777777" w:rsidR="0031121E" w:rsidRPr="00D654F7" w:rsidRDefault="00E36E88" w:rsidP="00D52B6B">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Once the measurement model has been declared to meet validity and reliability requirements, the next step is to evaluate the structural model, or inner model. Hair et al. (2022) explain that inner model evaluation includes several key components, including collinearity testing, assessing the significance and relevance of relationships between variables, the model's ability to explain the dependent variable (explanatory power), and its predictive power, which will be discussed further in the next section.</w:t>
      </w:r>
    </w:p>
    <w:p w14:paraId="4CC9222B" w14:textId="77777777" w:rsidR="0031121E" w:rsidRPr="00D654F7" w:rsidRDefault="0031121E" w:rsidP="001779AD">
      <w:pPr>
        <w:spacing w:after="0" w:line="240" w:lineRule="auto"/>
        <w:ind w:left="426" w:firstLine="567"/>
        <w:jc w:val="both"/>
        <w:rPr>
          <w:rFonts w:ascii="Book Antiqua" w:eastAsia="Times New Roman" w:hAnsi="Book Antiqua" w:cs="Times New Roman"/>
          <w:sz w:val="24"/>
          <w:szCs w:val="24"/>
        </w:rPr>
      </w:pPr>
    </w:p>
    <w:p w14:paraId="5B309832" w14:textId="77777777" w:rsidR="0031121E" w:rsidRPr="00D654F7" w:rsidRDefault="00B9221C" w:rsidP="00D52B6B">
      <w:pPr>
        <w:numPr>
          <w:ilvl w:val="0"/>
          <w:numId w:val="4"/>
        </w:numPr>
        <w:pBdr>
          <w:top w:val="nil"/>
          <w:left w:val="nil"/>
          <w:bottom w:val="nil"/>
          <w:right w:val="nil"/>
          <w:between w:val="nil"/>
        </w:pBdr>
        <w:spacing w:after="0" w:line="240" w:lineRule="auto"/>
        <w:ind w:left="357" w:hanging="357"/>
        <w:jc w:val="both"/>
        <w:rPr>
          <w:rFonts w:ascii="Book Antiqua" w:eastAsia="Times New Roman" w:hAnsi="Book Antiqua" w:cs="Times New Roman"/>
          <w:b/>
          <w:bCs/>
          <w:color w:val="000000"/>
          <w:sz w:val="24"/>
          <w:szCs w:val="24"/>
        </w:rPr>
      </w:pPr>
      <w:bookmarkStart w:id="12" w:name="_heading=h.2w006anhhul5" w:colFirst="0" w:colLast="0"/>
      <w:bookmarkEnd w:id="12"/>
      <w:r w:rsidRPr="00D654F7">
        <w:rPr>
          <w:rFonts w:ascii="Book Antiqua" w:eastAsia="Times New Roman" w:hAnsi="Book Antiqua" w:cs="Times New Roman"/>
          <w:b/>
          <w:bCs/>
          <w:i/>
          <w:iCs/>
          <w:color w:val="000000"/>
          <w:sz w:val="24"/>
          <w:szCs w:val="24"/>
        </w:rPr>
        <w:t>Assess the Structual Model for Collinearity Issues</w:t>
      </w:r>
      <w:r w:rsidRPr="00D654F7">
        <w:rPr>
          <w:rFonts w:ascii="Book Antiqua" w:eastAsia="Times New Roman" w:hAnsi="Book Antiqua" w:cs="Times New Roman"/>
          <w:b/>
          <w:bCs/>
          <w:color w:val="000000"/>
          <w:sz w:val="24"/>
          <w:szCs w:val="24"/>
        </w:rPr>
        <w:t>(IVF)</w:t>
      </w:r>
    </w:p>
    <w:p w14:paraId="724BA86D" w14:textId="77777777" w:rsidR="0031121E" w:rsidRPr="00D654F7" w:rsidRDefault="00EB1C2A" w:rsidP="00D52B6B">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Collinearity refers to a condition where there is a strong linear relationship between two or more independent variables in a model, resulting in overlapping information conveyed by these variables. To identify collinearity, a Variance Inflation Factor (VIF) test is performed. If the VIF value is below 5, the model is deemed to be free of collinearity and is suitable for further analysis. The results of the VIF test for each construct are presented in the following table.</w:t>
      </w:r>
    </w:p>
    <w:p w14:paraId="5B895DE0" w14:textId="77777777" w:rsidR="0031121E" w:rsidRPr="00D654F7" w:rsidRDefault="00B9221C" w:rsidP="001779AD">
      <w:pPr>
        <w:pBdr>
          <w:top w:val="nil"/>
          <w:left w:val="nil"/>
          <w:bottom w:val="nil"/>
          <w:right w:val="nil"/>
          <w:between w:val="nil"/>
        </w:pBdr>
        <w:spacing w:after="0" w:line="240" w:lineRule="auto"/>
        <w:jc w:val="center"/>
        <w:rPr>
          <w:rFonts w:ascii="Book Antiqua" w:eastAsia="Times New Roman" w:hAnsi="Book Antiqua" w:cs="Times New Roman"/>
          <w:b/>
          <w:bCs/>
          <w:color w:val="000000"/>
          <w:sz w:val="24"/>
          <w:szCs w:val="24"/>
        </w:rPr>
      </w:pPr>
      <w:bookmarkStart w:id="13" w:name="_heading=h.wbltizvly75d" w:colFirst="0" w:colLast="0"/>
      <w:bookmarkEnd w:id="13"/>
      <w:r w:rsidRPr="00D654F7">
        <w:rPr>
          <w:rFonts w:ascii="Book Antiqua" w:eastAsia="Times New Roman" w:hAnsi="Book Antiqua" w:cs="Times New Roman"/>
          <w:b/>
          <w:bCs/>
          <w:color w:val="000000"/>
          <w:sz w:val="24"/>
          <w:szCs w:val="24"/>
        </w:rPr>
        <w:t>Table 11. Variance Inflation Factor (IVF)</w:t>
      </w:r>
    </w:p>
    <w:tbl>
      <w:tblPr>
        <w:tblStyle w:val="a9"/>
        <w:tblW w:w="6260" w:type="dxa"/>
        <w:jc w:val="center"/>
        <w:tblLayout w:type="fixed"/>
        <w:tblLook w:val="0400" w:firstRow="0" w:lastRow="0" w:firstColumn="0" w:lastColumn="0" w:noHBand="0" w:noVBand="1"/>
      </w:tblPr>
      <w:tblGrid>
        <w:gridCol w:w="5300"/>
        <w:gridCol w:w="960"/>
      </w:tblGrid>
      <w:tr w:rsidR="0031121E" w:rsidRPr="00D654F7" w14:paraId="606788CE" w14:textId="77777777">
        <w:trPr>
          <w:trHeight w:val="315"/>
          <w:jc w:val="center"/>
        </w:trPr>
        <w:tc>
          <w:tcPr>
            <w:tcW w:w="530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FE33304" w14:textId="77777777" w:rsidR="0031121E" w:rsidRPr="00D654F7" w:rsidRDefault="0031121E" w:rsidP="001779AD">
            <w:pPr>
              <w:spacing w:after="0" w:line="240" w:lineRule="auto"/>
              <w:rPr>
                <w:rFonts w:ascii="Book Antiqua" w:eastAsia="Times New Roman" w:hAnsi="Book Antiqua" w:cs="Times New Roman"/>
                <w:b/>
                <w:bCs/>
                <w:color w:val="000000"/>
                <w:sz w:val="24"/>
                <w:szCs w:val="24"/>
              </w:rPr>
            </w:pPr>
          </w:p>
        </w:tc>
        <w:tc>
          <w:tcPr>
            <w:tcW w:w="960" w:type="dxa"/>
            <w:tcBorders>
              <w:top w:val="single" w:sz="8" w:space="0" w:color="000000"/>
              <w:left w:val="nil"/>
              <w:bottom w:val="single" w:sz="8" w:space="0" w:color="000000"/>
              <w:right w:val="single" w:sz="8" w:space="0" w:color="000000"/>
            </w:tcBorders>
            <w:shd w:val="clear" w:color="auto" w:fill="auto"/>
            <w:vAlign w:val="center"/>
          </w:tcPr>
          <w:p w14:paraId="0A28F5BA" w14:textId="77777777" w:rsidR="0031121E" w:rsidRPr="00D654F7" w:rsidRDefault="00B9221C" w:rsidP="001779AD">
            <w:pPr>
              <w:spacing w:after="0" w:line="240" w:lineRule="auto"/>
              <w:jc w:val="right"/>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VIF</w:t>
            </w:r>
          </w:p>
        </w:tc>
      </w:tr>
      <w:tr w:rsidR="0031121E" w:rsidRPr="00D654F7" w14:paraId="4B09817E" w14:textId="77777777">
        <w:trPr>
          <w:trHeight w:val="315"/>
          <w:jc w:val="center"/>
        </w:trPr>
        <w:tc>
          <w:tcPr>
            <w:tcW w:w="5300" w:type="dxa"/>
            <w:tcBorders>
              <w:top w:val="nil"/>
              <w:left w:val="single" w:sz="8" w:space="0" w:color="000000"/>
              <w:bottom w:val="single" w:sz="8" w:space="0" w:color="000000"/>
              <w:right w:val="single" w:sz="8" w:space="0" w:color="000000"/>
            </w:tcBorders>
            <w:shd w:val="clear" w:color="auto" w:fill="auto"/>
            <w:vAlign w:val="center"/>
          </w:tcPr>
          <w:p w14:paraId="7EF8356D"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Employee Engagement (X1) -&gt; Meaning of Work (M)</w:t>
            </w:r>
          </w:p>
        </w:tc>
        <w:tc>
          <w:tcPr>
            <w:tcW w:w="960" w:type="dxa"/>
            <w:tcBorders>
              <w:top w:val="nil"/>
              <w:left w:val="nil"/>
              <w:bottom w:val="single" w:sz="8" w:space="0" w:color="000000"/>
              <w:right w:val="single" w:sz="8" w:space="0" w:color="000000"/>
            </w:tcBorders>
            <w:shd w:val="clear" w:color="auto" w:fill="auto"/>
            <w:vAlign w:val="center"/>
          </w:tcPr>
          <w:p w14:paraId="13269AB3"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1,235</w:t>
            </w:r>
          </w:p>
        </w:tc>
      </w:tr>
      <w:tr w:rsidR="0031121E" w:rsidRPr="00D654F7" w14:paraId="1D99F674" w14:textId="77777777">
        <w:trPr>
          <w:trHeight w:val="315"/>
          <w:jc w:val="center"/>
        </w:trPr>
        <w:tc>
          <w:tcPr>
            <w:tcW w:w="5300" w:type="dxa"/>
            <w:tcBorders>
              <w:top w:val="nil"/>
              <w:left w:val="single" w:sz="8" w:space="0" w:color="000000"/>
              <w:bottom w:val="single" w:sz="8" w:space="0" w:color="000000"/>
              <w:right w:val="single" w:sz="8" w:space="0" w:color="000000"/>
            </w:tcBorders>
            <w:shd w:val="clear" w:color="auto" w:fill="auto"/>
            <w:vAlign w:val="center"/>
          </w:tcPr>
          <w:p w14:paraId="46B9AF04"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Employee Engagement (X1) -&gt; Employee Retention (Y)</w:t>
            </w:r>
          </w:p>
        </w:tc>
        <w:tc>
          <w:tcPr>
            <w:tcW w:w="960" w:type="dxa"/>
            <w:tcBorders>
              <w:top w:val="nil"/>
              <w:left w:val="nil"/>
              <w:bottom w:val="single" w:sz="8" w:space="0" w:color="000000"/>
              <w:right w:val="single" w:sz="8" w:space="0" w:color="000000"/>
            </w:tcBorders>
            <w:shd w:val="clear" w:color="auto" w:fill="auto"/>
            <w:vAlign w:val="center"/>
          </w:tcPr>
          <w:p w14:paraId="5C7C0A0A"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1,476</w:t>
            </w:r>
          </w:p>
        </w:tc>
      </w:tr>
      <w:tr w:rsidR="0031121E" w:rsidRPr="00D654F7" w14:paraId="4A67AF61" w14:textId="77777777">
        <w:trPr>
          <w:trHeight w:val="315"/>
          <w:jc w:val="center"/>
        </w:trPr>
        <w:tc>
          <w:tcPr>
            <w:tcW w:w="5300" w:type="dxa"/>
            <w:tcBorders>
              <w:top w:val="nil"/>
              <w:left w:val="single" w:sz="8" w:space="0" w:color="000000"/>
              <w:bottom w:val="single" w:sz="8" w:space="0" w:color="000000"/>
              <w:right w:val="single" w:sz="8" w:space="0" w:color="000000"/>
            </w:tcBorders>
            <w:shd w:val="clear" w:color="auto" w:fill="auto"/>
            <w:vAlign w:val="center"/>
          </w:tcPr>
          <w:p w14:paraId="36908B4B"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Meaning of Work (M) -&gt; Employee Retention (Y)</w:t>
            </w:r>
          </w:p>
        </w:tc>
        <w:tc>
          <w:tcPr>
            <w:tcW w:w="960" w:type="dxa"/>
            <w:tcBorders>
              <w:top w:val="nil"/>
              <w:left w:val="nil"/>
              <w:bottom w:val="single" w:sz="8" w:space="0" w:color="000000"/>
              <w:right w:val="single" w:sz="8" w:space="0" w:color="000000"/>
            </w:tcBorders>
            <w:shd w:val="clear" w:color="auto" w:fill="auto"/>
            <w:vAlign w:val="center"/>
          </w:tcPr>
          <w:p w14:paraId="623C9D34"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1,762</w:t>
            </w:r>
          </w:p>
        </w:tc>
      </w:tr>
      <w:tr w:rsidR="0031121E" w:rsidRPr="00D654F7" w14:paraId="079D9CB8" w14:textId="77777777">
        <w:trPr>
          <w:trHeight w:val="315"/>
          <w:jc w:val="center"/>
        </w:trPr>
        <w:tc>
          <w:tcPr>
            <w:tcW w:w="5300" w:type="dxa"/>
            <w:tcBorders>
              <w:top w:val="nil"/>
              <w:left w:val="single" w:sz="8" w:space="0" w:color="000000"/>
              <w:bottom w:val="single" w:sz="8" w:space="0" w:color="000000"/>
              <w:right w:val="single" w:sz="8" w:space="0" w:color="000000"/>
            </w:tcBorders>
            <w:shd w:val="clear" w:color="auto" w:fill="auto"/>
            <w:vAlign w:val="center"/>
          </w:tcPr>
          <w:p w14:paraId="06BFEDC4"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Perceived Usefulness (X2) -&gt; Meaning of Work (M)</w:t>
            </w:r>
          </w:p>
        </w:tc>
        <w:tc>
          <w:tcPr>
            <w:tcW w:w="960" w:type="dxa"/>
            <w:tcBorders>
              <w:top w:val="nil"/>
              <w:left w:val="nil"/>
              <w:bottom w:val="single" w:sz="8" w:space="0" w:color="000000"/>
              <w:right w:val="single" w:sz="8" w:space="0" w:color="000000"/>
            </w:tcBorders>
            <w:shd w:val="clear" w:color="auto" w:fill="auto"/>
            <w:vAlign w:val="center"/>
          </w:tcPr>
          <w:p w14:paraId="0C111D4C"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1,235</w:t>
            </w:r>
          </w:p>
        </w:tc>
      </w:tr>
      <w:tr w:rsidR="0031121E" w:rsidRPr="00D654F7" w14:paraId="070A72E9" w14:textId="77777777">
        <w:trPr>
          <w:trHeight w:val="315"/>
          <w:jc w:val="center"/>
        </w:trPr>
        <w:tc>
          <w:tcPr>
            <w:tcW w:w="5300" w:type="dxa"/>
            <w:tcBorders>
              <w:top w:val="nil"/>
              <w:left w:val="single" w:sz="8" w:space="0" w:color="000000"/>
              <w:bottom w:val="single" w:sz="8" w:space="0" w:color="000000"/>
              <w:right w:val="single" w:sz="8" w:space="0" w:color="000000"/>
            </w:tcBorders>
            <w:shd w:val="clear" w:color="auto" w:fill="auto"/>
            <w:vAlign w:val="center"/>
          </w:tcPr>
          <w:p w14:paraId="4491E37C"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Perceived Usefulness (X2) -&gt; Employee Retention (Y)</w:t>
            </w:r>
          </w:p>
        </w:tc>
        <w:tc>
          <w:tcPr>
            <w:tcW w:w="960" w:type="dxa"/>
            <w:tcBorders>
              <w:top w:val="nil"/>
              <w:left w:val="nil"/>
              <w:bottom w:val="single" w:sz="8" w:space="0" w:color="000000"/>
              <w:right w:val="single" w:sz="8" w:space="0" w:color="000000"/>
            </w:tcBorders>
            <w:shd w:val="clear" w:color="auto" w:fill="auto"/>
            <w:vAlign w:val="center"/>
          </w:tcPr>
          <w:p w14:paraId="2BD0DF12"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1,526</w:t>
            </w:r>
          </w:p>
        </w:tc>
      </w:tr>
    </w:tbl>
    <w:p w14:paraId="36E6FF0E" w14:textId="77777777" w:rsidR="0031121E" w:rsidRPr="00D654F7" w:rsidRDefault="00B9221C" w:rsidP="001779AD">
      <w:pPr>
        <w:spacing w:after="0" w:line="240" w:lineRule="auto"/>
        <w:ind w:left="426" w:firstLine="567"/>
        <w:jc w:val="center"/>
        <w:rPr>
          <w:rFonts w:ascii="Book Antiqua" w:eastAsia="Times New Roman" w:hAnsi="Book Antiqua" w:cs="Times New Roman"/>
          <w:sz w:val="24"/>
          <w:szCs w:val="24"/>
        </w:rPr>
      </w:pPr>
      <w:r w:rsidRPr="00D654F7">
        <w:rPr>
          <w:rFonts w:ascii="Book Antiqua" w:eastAsia="Times New Roman" w:hAnsi="Book Antiqua" w:cs="Times New Roman"/>
          <w:sz w:val="24"/>
          <w:szCs w:val="24"/>
        </w:rPr>
        <w:t>Source: Processed data, 2025</w:t>
      </w:r>
    </w:p>
    <w:p w14:paraId="56D38E95" w14:textId="77777777" w:rsidR="0031121E" w:rsidRPr="00D654F7" w:rsidRDefault="00EB1C2A" w:rsidP="00D52B6B">
      <w:pPr>
        <w:pBdr>
          <w:top w:val="nil"/>
          <w:left w:val="nil"/>
          <w:bottom w:val="nil"/>
          <w:right w:val="nil"/>
          <w:between w:val="nil"/>
        </w:pBdr>
        <w:spacing w:after="0" w:line="240" w:lineRule="auto"/>
        <w:ind w:firstLine="567"/>
        <w:jc w:val="both"/>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The VIF test results for all paths in the model indicate that the values ​​obtained are below the maximum limit of 5, so there is no indication of collinearity between the predictor constructs. VIF values ​​ranging from 1.235 to 1.762 indicate that each independent variable in the model is able to explain the dependent variable separately without any overlapping information. Thus, the structural model is declared free from collinearity issues and can proceed to the analysis stage of the relationships between constructs.</w:t>
      </w:r>
    </w:p>
    <w:p w14:paraId="0D11C372" w14:textId="77777777" w:rsidR="0031121E" w:rsidRPr="00D654F7" w:rsidRDefault="0031121E" w:rsidP="00D52B6B">
      <w:pPr>
        <w:spacing w:after="0" w:line="240" w:lineRule="auto"/>
        <w:jc w:val="both"/>
        <w:rPr>
          <w:rFonts w:ascii="Book Antiqua" w:eastAsia="Times New Roman" w:hAnsi="Book Antiqua" w:cs="Times New Roman"/>
          <w:sz w:val="24"/>
          <w:szCs w:val="24"/>
        </w:rPr>
      </w:pPr>
    </w:p>
    <w:p w14:paraId="7D83B3AB" w14:textId="77777777" w:rsidR="0031121E" w:rsidRPr="00D654F7" w:rsidRDefault="00B9221C" w:rsidP="00D52B6B">
      <w:pPr>
        <w:numPr>
          <w:ilvl w:val="0"/>
          <w:numId w:val="4"/>
        </w:numPr>
        <w:pBdr>
          <w:top w:val="nil"/>
          <w:left w:val="nil"/>
          <w:bottom w:val="nil"/>
          <w:right w:val="nil"/>
          <w:between w:val="nil"/>
        </w:pBdr>
        <w:spacing w:after="0" w:line="240" w:lineRule="auto"/>
        <w:ind w:left="357" w:hanging="357"/>
        <w:jc w:val="both"/>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i/>
          <w:iCs/>
          <w:color w:val="000000"/>
          <w:sz w:val="24"/>
          <w:szCs w:val="24"/>
        </w:rPr>
        <w:t>Assess the Significance and Relevance of the Structural Model Relationships Path Coefficient</w:t>
      </w:r>
      <w:r w:rsidRPr="00D654F7">
        <w:rPr>
          <w:rFonts w:ascii="Book Antiqua" w:eastAsia="Times New Roman" w:hAnsi="Book Antiqua" w:cs="Times New Roman"/>
          <w:b/>
          <w:bCs/>
          <w:color w:val="000000"/>
          <w:sz w:val="24"/>
          <w:szCs w:val="24"/>
        </w:rPr>
        <w:t>and t-value</w:t>
      </w:r>
    </w:p>
    <w:p w14:paraId="40909D5C" w14:textId="77777777" w:rsidR="0031121E" w:rsidRPr="00D654F7" w:rsidRDefault="00EB1C2A" w:rsidP="00D52B6B">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At this stage, the analysis focuses on testing the path coefficient and t-statistic values ​​to evaluate the strength and significance of the relationships between constructs in the structural model. A path coefficient value closer to 1 indicates a stronger positive relationship, while a value closer to zero indicates a weaker relationship between the variables. Next, the t-statistic is used to determine the statistical significance of the relationship. In this study, the significance level was set at 5%, so a relationship is considered significant if the t-statistic exceeds 1.96 (Hair et al., 2022). Details of the test results are presented in the following table.</w:t>
      </w:r>
    </w:p>
    <w:p w14:paraId="06F19E2E" w14:textId="77777777" w:rsidR="0031121E" w:rsidRPr="00D654F7" w:rsidRDefault="00EB1C2A" w:rsidP="001C2D50">
      <w:pPr>
        <w:spacing w:after="0" w:line="240" w:lineRule="auto"/>
        <w:ind w:left="426"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Table 12. Path Coefficient and t-statistic value</w:t>
      </w:r>
      <w:bookmarkStart w:id="14" w:name="_heading=h.lmg6btbwfkob" w:colFirst="0" w:colLast="0"/>
      <w:bookmarkEnd w:id="14"/>
    </w:p>
    <w:tbl>
      <w:tblPr>
        <w:tblStyle w:val="aa"/>
        <w:tblW w:w="5000" w:type="pct"/>
        <w:jc w:val="center"/>
        <w:tblLook w:val="0400" w:firstRow="0" w:lastRow="0" w:firstColumn="0" w:lastColumn="0" w:noHBand="0" w:noVBand="1"/>
      </w:tblPr>
      <w:tblGrid>
        <w:gridCol w:w="3177"/>
        <w:gridCol w:w="1151"/>
        <w:gridCol w:w="1017"/>
        <w:gridCol w:w="1258"/>
        <w:gridCol w:w="1730"/>
        <w:gridCol w:w="924"/>
      </w:tblGrid>
      <w:tr w:rsidR="0031121E" w:rsidRPr="00D654F7" w14:paraId="4389D5BA" w14:textId="77777777" w:rsidTr="00D654F7">
        <w:trPr>
          <w:trHeight w:val="20"/>
          <w:jc w:val="center"/>
        </w:trPr>
        <w:tc>
          <w:tcPr>
            <w:tcW w:w="243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E4DF052" w14:textId="77777777" w:rsidR="0031121E" w:rsidRPr="00D654F7" w:rsidRDefault="00B9221C" w:rsidP="001779AD">
            <w:pPr>
              <w:spacing w:after="0" w:line="240" w:lineRule="auto"/>
              <w:jc w:val="center"/>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Variables</w:t>
            </w:r>
          </w:p>
        </w:tc>
        <w:tc>
          <w:tcPr>
            <w:tcW w:w="485" w:type="pct"/>
            <w:tcBorders>
              <w:top w:val="single" w:sz="8" w:space="0" w:color="000000"/>
              <w:left w:val="nil"/>
              <w:bottom w:val="single" w:sz="8" w:space="0" w:color="000000"/>
              <w:right w:val="single" w:sz="8" w:space="0" w:color="000000"/>
            </w:tcBorders>
            <w:shd w:val="clear" w:color="auto" w:fill="auto"/>
            <w:vAlign w:val="center"/>
          </w:tcPr>
          <w:p w14:paraId="0F09810A" w14:textId="77777777" w:rsidR="0031121E" w:rsidRPr="00D654F7" w:rsidRDefault="00B9221C" w:rsidP="001779AD">
            <w:pPr>
              <w:spacing w:after="0" w:line="240" w:lineRule="auto"/>
              <w:jc w:val="center"/>
              <w:rPr>
                <w:rFonts w:ascii="Book Antiqua" w:eastAsia="Times New Roman" w:hAnsi="Book Antiqua" w:cs="Times New Roman"/>
                <w:b/>
                <w:bCs/>
                <w:i/>
                <w:iCs/>
                <w:color w:val="000000"/>
                <w:sz w:val="24"/>
                <w:szCs w:val="24"/>
              </w:rPr>
            </w:pPr>
            <w:r w:rsidRPr="00D654F7">
              <w:rPr>
                <w:rFonts w:ascii="Book Antiqua" w:eastAsia="Times New Roman" w:hAnsi="Book Antiqua" w:cs="Times New Roman"/>
                <w:b/>
                <w:bCs/>
                <w:i/>
                <w:iCs/>
                <w:color w:val="000000"/>
                <w:sz w:val="24"/>
                <w:szCs w:val="24"/>
              </w:rPr>
              <w:t>Original sample (O)</w:t>
            </w:r>
          </w:p>
        </w:tc>
        <w:tc>
          <w:tcPr>
            <w:tcW w:w="436" w:type="pct"/>
            <w:tcBorders>
              <w:top w:val="single" w:sz="8" w:space="0" w:color="000000"/>
              <w:left w:val="nil"/>
              <w:bottom w:val="single" w:sz="8" w:space="0" w:color="000000"/>
              <w:right w:val="single" w:sz="8" w:space="0" w:color="000000"/>
            </w:tcBorders>
            <w:shd w:val="clear" w:color="auto" w:fill="auto"/>
            <w:vAlign w:val="center"/>
          </w:tcPr>
          <w:p w14:paraId="7AA80ADC" w14:textId="77777777" w:rsidR="0031121E" w:rsidRPr="00D654F7" w:rsidRDefault="00B9221C" w:rsidP="001779AD">
            <w:pPr>
              <w:spacing w:after="0" w:line="240" w:lineRule="auto"/>
              <w:jc w:val="center"/>
              <w:rPr>
                <w:rFonts w:ascii="Book Antiqua" w:eastAsia="Times New Roman" w:hAnsi="Book Antiqua" w:cs="Times New Roman"/>
                <w:b/>
                <w:bCs/>
                <w:i/>
                <w:iCs/>
                <w:color w:val="000000"/>
                <w:sz w:val="24"/>
                <w:szCs w:val="24"/>
              </w:rPr>
            </w:pPr>
            <w:r w:rsidRPr="00D654F7">
              <w:rPr>
                <w:rFonts w:ascii="Book Antiqua" w:eastAsia="Times New Roman" w:hAnsi="Book Antiqua" w:cs="Times New Roman"/>
                <w:b/>
                <w:bCs/>
                <w:i/>
                <w:iCs/>
                <w:color w:val="000000"/>
                <w:sz w:val="24"/>
                <w:szCs w:val="24"/>
              </w:rPr>
              <w:t>Sample mean (M)</w:t>
            </w:r>
          </w:p>
        </w:tc>
        <w:tc>
          <w:tcPr>
            <w:tcW w:w="528" w:type="pct"/>
            <w:tcBorders>
              <w:top w:val="single" w:sz="8" w:space="0" w:color="000000"/>
              <w:left w:val="nil"/>
              <w:bottom w:val="single" w:sz="8" w:space="0" w:color="000000"/>
              <w:right w:val="single" w:sz="8" w:space="0" w:color="000000"/>
            </w:tcBorders>
            <w:shd w:val="clear" w:color="auto" w:fill="auto"/>
            <w:vAlign w:val="center"/>
          </w:tcPr>
          <w:p w14:paraId="1BB59CE6" w14:textId="77777777" w:rsidR="0031121E" w:rsidRPr="00D654F7" w:rsidRDefault="00B9221C" w:rsidP="001779AD">
            <w:pPr>
              <w:spacing w:after="0" w:line="240" w:lineRule="auto"/>
              <w:jc w:val="center"/>
              <w:rPr>
                <w:rFonts w:ascii="Book Antiqua" w:eastAsia="Times New Roman" w:hAnsi="Book Antiqua" w:cs="Times New Roman"/>
                <w:b/>
                <w:bCs/>
                <w:i/>
                <w:iCs/>
                <w:color w:val="000000"/>
                <w:sz w:val="24"/>
                <w:szCs w:val="24"/>
              </w:rPr>
            </w:pPr>
            <w:r w:rsidRPr="00D654F7">
              <w:rPr>
                <w:rFonts w:ascii="Book Antiqua" w:eastAsia="Times New Roman" w:hAnsi="Book Antiqua" w:cs="Times New Roman"/>
                <w:b/>
                <w:bCs/>
                <w:i/>
                <w:iCs/>
                <w:color w:val="000000"/>
                <w:sz w:val="24"/>
                <w:szCs w:val="24"/>
              </w:rPr>
              <w:t>Standard deviation (STDEV)</w:t>
            </w:r>
          </w:p>
        </w:tc>
        <w:tc>
          <w:tcPr>
            <w:tcW w:w="687" w:type="pct"/>
            <w:tcBorders>
              <w:top w:val="single" w:sz="8" w:space="0" w:color="000000"/>
              <w:left w:val="nil"/>
              <w:bottom w:val="single" w:sz="8" w:space="0" w:color="000000"/>
              <w:right w:val="single" w:sz="8" w:space="0" w:color="000000"/>
            </w:tcBorders>
            <w:shd w:val="clear" w:color="auto" w:fill="auto"/>
            <w:vAlign w:val="center"/>
          </w:tcPr>
          <w:p w14:paraId="2150EA84" w14:textId="77777777" w:rsidR="0031121E" w:rsidRPr="00D654F7" w:rsidRDefault="00B9221C" w:rsidP="001779AD">
            <w:pPr>
              <w:spacing w:after="0" w:line="240" w:lineRule="auto"/>
              <w:jc w:val="center"/>
              <w:rPr>
                <w:rFonts w:ascii="Book Antiqua" w:eastAsia="Times New Roman" w:hAnsi="Book Antiqua" w:cs="Times New Roman"/>
                <w:b/>
                <w:bCs/>
                <w:i/>
                <w:iCs/>
                <w:color w:val="000000"/>
                <w:sz w:val="24"/>
                <w:szCs w:val="24"/>
              </w:rPr>
            </w:pPr>
            <w:r w:rsidRPr="00D654F7">
              <w:rPr>
                <w:rFonts w:ascii="Book Antiqua" w:eastAsia="Times New Roman" w:hAnsi="Book Antiqua" w:cs="Times New Roman"/>
                <w:b/>
                <w:bCs/>
                <w:i/>
                <w:iCs/>
                <w:color w:val="000000"/>
                <w:sz w:val="24"/>
                <w:szCs w:val="24"/>
              </w:rPr>
              <w:t>T statistics (|O/STDEV|)</w:t>
            </w:r>
          </w:p>
        </w:tc>
        <w:tc>
          <w:tcPr>
            <w:tcW w:w="431" w:type="pct"/>
            <w:tcBorders>
              <w:top w:val="single" w:sz="8" w:space="0" w:color="000000"/>
              <w:left w:val="nil"/>
              <w:bottom w:val="single" w:sz="8" w:space="0" w:color="000000"/>
              <w:right w:val="single" w:sz="8" w:space="0" w:color="000000"/>
            </w:tcBorders>
            <w:shd w:val="clear" w:color="auto" w:fill="auto"/>
            <w:vAlign w:val="center"/>
          </w:tcPr>
          <w:p w14:paraId="38417DF4" w14:textId="77777777" w:rsidR="0031121E" w:rsidRPr="00D654F7" w:rsidRDefault="00B9221C" w:rsidP="001779AD">
            <w:pPr>
              <w:spacing w:after="0" w:line="240" w:lineRule="auto"/>
              <w:jc w:val="center"/>
              <w:rPr>
                <w:rFonts w:ascii="Book Antiqua" w:eastAsia="Times New Roman" w:hAnsi="Book Antiqua" w:cs="Times New Roman"/>
                <w:b/>
                <w:bCs/>
                <w:i/>
                <w:iCs/>
                <w:color w:val="000000"/>
                <w:sz w:val="24"/>
                <w:szCs w:val="24"/>
              </w:rPr>
            </w:pPr>
            <w:r w:rsidRPr="00D654F7">
              <w:rPr>
                <w:rFonts w:ascii="Book Antiqua" w:eastAsia="Times New Roman" w:hAnsi="Book Antiqua" w:cs="Times New Roman"/>
                <w:b/>
                <w:bCs/>
                <w:i/>
                <w:iCs/>
                <w:color w:val="000000"/>
                <w:sz w:val="24"/>
                <w:szCs w:val="24"/>
              </w:rPr>
              <w:t>P values</w:t>
            </w:r>
          </w:p>
        </w:tc>
      </w:tr>
      <w:tr w:rsidR="0031121E" w:rsidRPr="00D654F7" w14:paraId="28D7BF31" w14:textId="77777777" w:rsidTr="00D654F7">
        <w:trPr>
          <w:trHeight w:val="20"/>
          <w:jc w:val="center"/>
        </w:trPr>
        <w:tc>
          <w:tcPr>
            <w:tcW w:w="2433" w:type="pct"/>
            <w:tcBorders>
              <w:top w:val="nil"/>
              <w:left w:val="single" w:sz="8" w:space="0" w:color="000000"/>
              <w:bottom w:val="single" w:sz="8" w:space="0" w:color="000000"/>
              <w:right w:val="single" w:sz="8" w:space="0" w:color="000000"/>
            </w:tcBorders>
            <w:shd w:val="clear" w:color="auto" w:fill="auto"/>
            <w:vAlign w:val="center"/>
          </w:tcPr>
          <w:p w14:paraId="19D9237A"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Employee Engagement (X1) -&gt; Meaning of Work (M)</w:t>
            </w:r>
          </w:p>
        </w:tc>
        <w:tc>
          <w:tcPr>
            <w:tcW w:w="485" w:type="pct"/>
            <w:tcBorders>
              <w:top w:val="nil"/>
              <w:left w:val="nil"/>
              <w:bottom w:val="single" w:sz="8" w:space="0" w:color="000000"/>
              <w:right w:val="single" w:sz="8" w:space="0" w:color="000000"/>
            </w:tcBorders>
            <w:shd w:val="clear" w:color="auto" w:fill="auto"/>
            <w:vAlign w:val="center"/>
          </w:tcPr>
          <w:p w14:paraId="3A32D02B"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0.369</w:t>
            </w:r>
          </w:p>
        </w:tc>
        <w:tc>
          <w:tcPr>
            <w:tcW w:w="436" w:type="pct"/>
            <w:tcBorders>
              <w:top w:val="nil"/>
              <w:left w:val="nil"/>
              <w:bottom w:val="single" w:sz="8" w:space="0" w:color="000000"/>
              <w:right w:val="single" w:sz="8" w:space="0" w:color="000000"/>
            </w:tcBorders>
            <w:shd w:val="clear" w:color="auto" w:fill="auto"/>
            <w:vAlign w:val="center"/>
          </w:tcPr>
          <w:p w14:paraId="4A68DB16"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0.373</w:t>
            </w:r>
          </w:p>
        </w:tc>
        <w:tc>
          <w:tcPr>
            <w:tcW w:w="528" w:type="pct"/>
            <w:tcBorders>
              <w:top w:val="nil"/>
              <w:left w:val="nil"/>
              <w:bottom w:val="single" w:sz="8" w:space="0" w:color="000000"/>
              <w:right w:val="single" w:sz="8" w:space="0" w:color="000000"/>
            </w:tcBorders>
            <w:shd w:val="clear" w:color="auto" w:fill="auto"/>
            <w:vAlign w:val="center"/>
          </w:tcPr>
          <w:p w14:paraId="33A9B030"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0.118</w:t>
            </w:r>
          </w:p>
        </w:tc>
        <w:tc>
          <w:tcPr>
            <w:tcW w:w="687" w:type="pct"/>
            <w:tcBorders>
              <w:top w:val="nil"/>
              <w:left w:val="nil"/>
              <w:bottom w:val="single" w:sz="8" w:space="0" w:color="000000"/>
              <w:right w:val="single" w:sz="8" w:space="0" w:color="000000"/>
            </w:tcBorders>
            <w:shd w:val="clear" w:color="auto" w:fill="auto"/>
            <w:vAlign w:val="center"/>
          </w:tcPr>
          <w:p w14:paraId="0FD8E912"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3,130</w:t>
            </w:r>
          </w:p>
        </w:tc>
        <w:tc>
          <w:tcPr>
            <w:tcW w:w="431" w:type="pct"/>
            <w:tcBorders>
              <w:top w:val="nil"/>
              <w:left w:val="nil"/>
              <w:bottom w:val="single" w:sz="8" w:space="0" w:color="000000"/>
              <w:right w:val="single" w:sz="8" w:space="0" w:color="000000"/>
            </w:tcBorders>
            <w:shd w:val="clear" w:color="auto" w:fill="auto"/>
            <w:vAlign w:val="center"/>
          </w:tcPr>
          <w:p w14:paraId="0F7223E5"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0.002</w:t>
            </w:r>
          </w:p>
        </w:tc>
      </w:tr>
      <w:tr w:rsidR="0031121E" w:rsidRPr="00D654F7" w14:paraId="2379EA9A" w14:textId="77777777" w:rsidTr="00D654F7">
        <w:trPr>
          <w:trHeight w:val="20"/>
          <w:jc w:val="center"/>
        </w:trPr>
        <w:tc>
          <w:tcPr>
            <w:tcW w:w="2433" w:type="pct"/>
            <w:tcBorders>
              <w:top w:val="nil"/>
              <w:left w:val="single" w:sz="8" w:space="0" w:color="000000"/>
              <w:bottom w:val="single" w:sz="8" w:space="0" w:color="000000"/>
              <w:right w:val="single" w:sz="8" w:space="0" w:color="000000"/>
            </w:tcBorders>
            <w:shd w:val="clear" w:color="auto" w:fill="auto"/>
            <w:vAlign w:val="center"/>
          </w:tcPr>
          <w:p w14:paraId="77CE7AB6"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Employee Engagement (X1) -&gt; Employee Retention (Y)</w:t>
            </w:r>
          </w:p>
        </w:tc>
        <w:tc>
          <w:tcPr>
            <w:tcW w:w="485" w:type="pct"/>
            <w:tcBorders>
              <w:top w:val="nil"/>
              <w:left w:val="nil"/>
              <w:bottom w:val="single" w:sz="8" w:space="0" w:color="000000"/>
              <w:right w:val="single" w:sz="8" w:space="0" w:color="000000"/>
            </w:tcBorders>
            <w:shd w:val="clear" w:color="auto" w:fill="auto"/>
            <w:vAlign w:val="center"/>
          </w:tcPr>
          <w:p w14:paraId="474695FF"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0.312</w:t>
            </w:r>
          </w:p>
        </w:tc>
        <w:tc>
          <w:tcPr>
            <w:tcW w:w="436" w:type="pct"/>
            <w:tcBorders>
              <w:top w:val="nil"/>
              <w:left w:val="nil"/>
              <w:bottom w:val="single" w:sz="8" w:space="0" w:color="000000"/>
              <w:right w:val="single" w:sz="8" w:space="0" w:color="000000"/>
            </w:tcBorders>
            <w:shd w:val="clear" w:color="auto" w:fill="auto"/>
            <w:vAlign w:val="center"/>
          </w:tcPr>
          <w:p w14:paraId="79F53777"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0.312</w:t>
            </w:r>
          </w:p>
        </w:tc>
        <w:tc>
          <w:tcPr>
            <w:tcW w:w="528" w:type="pct"/>
            <w:tcBorders>
              <w:top w:val="nil"/>
              <w:left w:val="nil"/>
              <w:bottom w:val="single" w:sz="8" w:space="0" w:color="000000"/>
              <w:right w:val="single" w:sz="8" w:space="0" w:color="000000"/>
            </w:tcBorders>
            <w:shd w:val="clear" w:color="auto" w:fill="auto"/>
            <w:vAlign w:val="center"/>
          </w:tcPr>
          <w:p w14:paraId="4F5DDCA5"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0.083</w:t>
            </w:r>
          </w:p>
        </w:tc>
        <w:tc>
          <w:tcPr>
            <w:tcW w:w="687" w:type="pct"/>
            <w:tcBorders>
              <w:top w:val="nil"/>
              <w:left w:val="nil"/>
              <w:bottom w:val="single" w:sz="8" w:space="0" w:color="000000"/>
              <w:right w:val="single" w:sz="8" w:space="0" w:color="000000"/>
            </w:tcBorders>
            <w:shd w:val="clear" w:color="auto" w:fill="auto"/>
            <w:vAlign w:val="center"/>
          </w:tcPr>
          <w:p w14:paraId="5EE68F10"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3,777</w:t>
            </w:r>
          </w:p>
        </w:tc>
        <w:tc>
          <w:tcPr>
            <w:tcW w:w="431" w:type="pct"/>
            <w:tcBorders>
              <w:top w:val="nil"/>
              <w:left w:val="nil"/>
              <w:bottom w:val="single" w:sz="8" w:space="0" w:color="000000"/>
              <w:right w:val="single" w:sz="8" w:space="0" w:color="000000"/>
            </w:tcBorders>
            <w:shd w:val="clear" w:color="auto" w:fill="auto"/>
            <w:vAlign w:val="center"/>
          </w:tcPr>
          <w:p w14:paraId="4E0B52F2"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0.000</w:t>
            </w:r>
          </w:p>
        </w:tc>
      </w:tr>
      <w:tr w:rsidR="0031121E" w:rsidRPr="00D654F7" w14:paraId="4F486A51" w14:textId="77777777" w:rsidTr="00D654F7">
        <w:trPr>
          <w:trHeight w:val="20"/>
          <w:jc w:val="center"/>
        </w:trPr>
        <w:tc>
          <w:tcPr>
            <w:tcW w:w="2433" w:type="pct"/>
            <w:tcBorders>
              <w:top w:val="nil"/>
              <w:left w:val="single" w:sz="8" w:space="0" w:color="000000"/>
              <w:bottom w:val="single" w:sz="8" w:space="0" w:color="000000"/>
              <w:right w:val="single" w:sz="8" w:space="0" w:color="000000"/>
            </w:tcBorders>
            <w:shd w:val="clear" w:color="auto" w:fill="auto"/>
            <w:vAlign w:val="center"/>
          </w:tcPr>
          <w:p w14:paraId="1729E3E0"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Meaning of Work (M) -&gt; Employee Retention (Y)</w:t>
            </w:r>
          </w:p>
        </w:tc>
        <w:tc>
          <w:tcPr>
            <w:tcW w:w="485" w:type="pct"/>
            <w:tcBorders>
              <w:top w:val="nil"/>
              <w:left w:val="nil"/>
              <w:bottom w:val="single" w:sz="8" w:space="0" w:color="000000"/>
              <w:right w:val="single" w:sz="8" w:space="0" w:color="000000"/>
            </w:tcBorders>
            <w:shd w:val="clear" w:color="auto" w:fill="auto"/>
            <w:vAlign w:val="center"/>
          </w:tcPr>
          <w:p w14:paraId="3D17B841"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0.293</w:t>
            </w:r>
          </w:p>
        </w:tc>
        <w:tc>
          <w:tcPr>
            <w:tcW w:w="436" w:type="pct"/>
            <w:tcBorders>
              <w:top w:val="nil"/>
              <w:left w:val="nil"/>
              <w:bottom w:val="single" w:sz="8" w:space="0" w:color="000000"/>
              <w:right w:val="single" w:sz="8" w:space="0" w:color="000000"/>
            </w:tcBorders>
            <w:shd w:val="clear" w:color="auto" w:fill="auto"/>
            <w:vAlign w:val="center"/>
          </w:tcPr>
          <w:p w14:paraId="52047213"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0.294</w:t>
            </w:r>
          </w:p>
        </w:tc>
        <w:tc>
          <w:tcPr>
            <w:tcW w:w="528" w:type="pct"/>
            <w:tcBorders>
              <w:top w:val="nil"/>
              <w:left w:val="nil"/>
              <w:bottom w:val="single" w:sz="8" w:space="0" w:color="000000"/>
              <w:right w:val="single" w:sz="8" w:space="0" w:color="000000"/>
            </w:tcBorders>
            <w:shd w:val="clear" w:color="auto" w:fill="auto"/>
            <w:vAlign w:val="center"/>
          </w:tcPr>
          <w:p w14:paraId="0F99224A"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0.096</w:t>
            </w:r>
          </w:p>
        </w:tc>
        <w:tc>
          <w:tcPr>
            <w:tcW w:w="687" w:type="pct"/>
            <w:tcBorders>
              <w:top w:val="nil"/>
              <w:left w:val="nil"/>
              <w:bottom w:val="single" w:sz="8" w:space="0" w:color="000000"/>
              <w:right w:val="single" w:sz="8" w:space="0" w:color="000000"/>
            </w:tcBorders>
            <w:shd w:val="clear" w:color="auto" w:fill="auto"/>
            <w:vAlign w:val="center"/>
          </w:tcPr>
          <w:p w14:paraId="00C52D21"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3,052</w:t>
            </w:r>
          </w:p>
        </w:tc>
        <w:tc>
          <w:tcPr>
            <w:tcW w:w="431" w:type="pct"/>
            <w:tcBorders>
              <w:top w:val="nil"/>
              <w:left w:val="nil"/>
              <w:bottom w:val="single" w:sz="8" w:space="0" w:color="000000"/>
              <w:right w:val="single" w:sz="8" w:space="0" w:color="000000"/>
            </w:tcBorders>
            <w:shd w:val="clear" w:color="auto" w:fill="auto"/>
            <w:vAlign w:val="center"/>
          </w:tcPr>
          <w:p w14:paraId="2760FFF7"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0.002</w:t>
            </w:r>
          </w:p>
        </w:tc>
      </w:tr>
      <w:tr w:rsidR="0031121E" w:rsidRPr="00D654F7" w14:paraId="44D0D296" w14:textId="77777777" w:rsidTr="00D654F7">
        <w:trPr>
          <w:trHeight w:val="20"/>
          <w:jc w:val="center"/>
        </w:trPr>
        <w:tc>
          <w:tcPr>
            <w:tcW w:w="2433" w:type="pct"/>
            <w:tcBorders>
              <w:top w:val="nil"/>
              <w:left w:val="single" w:sz="8" w:space="0" w:color="000000"/>
              <w:bottom w:val="single" w:sz="8" w:space="0" w:color="000000"/>
              <w:right w:val="single" w:sz="8" w:space="0" w:color="000000"/>
            </w:tcBorders>
            <w:shd w:val="clear" w:color="auto" w:fill="auto"/>
            <w:vAlign w:val="center"/>
          </w:tcPr>
          <w:p w14:paraId="282384A0"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Perceived Usefulness (X2) -&gt; Meaning of Work (M)</w:t>
            </w:r>
          </w:p>
        </w:tc>
        <w:tc>
          <w:tcPr>
            <w:tcW w:w="485" w:type="pct"/>
            <w:tcBorders>
              <w:top w:val="nil"/>
              <w:left w:val="nil"/>
              <w:bottom w:val="single" w:sz="8" w:space="0" w:color="000000"/>
              <w:right w:val="single" w:sz="8" w:space="0" w:color="000000"/>
            </w:tcBorders>
            <w:shd w:val="clear" w:color="auto" w:fill="auto"/>
            <w:vAlign w:val="center"/>
          </w:tcPr>
          <w:p w14:paraId="75A3AC2A"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0.406</w:t>
            </w:r>
          </w:p>
        </w:tc>
        <w:tc>
          <w:tcPr>
            <w:tcW w:w="436" w:type="pct"/>
            <w:tcBorders>
              <w:top w:val="nil"/>
              <w:left w:val="nil"/>
              <w:bottom w:val="single" w:sz="8" w:space="0" w:color="000000"/>
              <w:right w:val="single" w:sz="8" w:space="0" w:color="000000"/>
            </w:tcBorders>
            <w:shd w:val="clear" w:color="auto" w:fill="auto"/>
            <w:vAlign w:val="center"/>
          </w:tcPr>
          <w:p w14:paraId="2310B062"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0.405</w:t>
            </w:r>
          </w:p>
        </w:tc>
        <w:tc>
          <w:tcPr>
            <w:tcW w:w="528" w:type="pct"/>
            <w:tcBorders>
              <w:top w:val="nil"/>
              <w:left w:val="nil"/>
              <w:bottom w:val="single" w:sz="8" w:space="0" w:color="000000"/>
              <w:right w:val="single" w:sz="8" w:space="0" w:color="000000"/>
            </w:tcBorders>
            <w:shd w:val="clear" w:color="auto" w:fill="auto"/>
            <w:vAlign w:val="center"/>
          </w:tcPr>
          <w:p w14:paraId="524B7372"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0.113</w:t>
            </w:r>
          </w:p>
        </w:tc>
        <w:tc>
          <w:tcPr>
            <w:tcW w:w="687" w:type="pct"/>
            <w:tcBorders>
              <w:top w:val="nil"/>
              <w:left w:val="nil"/>
              <w:bottom w:val="single" w:sz="8" w:space="0" w:color="000000"/>
              <w:right w:val="single" w:sz="8" w:space="0" w:color="000000"/>
            </w:tcBorders>
            <w:shd w:val="clear" w:color="auto" w:fill="auto"/>
            <w:vAlign w:val="center"/>
          </w:tcPr>
          <w:p w14:paraId="3398C012"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3,598</w:t>
            </w:r>
          </w:p>
        </w:tc>
        <w:tc>
          <w:tcPr>
            <w:tcW w:w="431" w:type="pct"/>
            <w:tcBorders>
              <w:top w:val="nil"/>
              <w:left w:val="nil"/>
              <w:bottom w:val="single" w:sz="8" w:space="0" w:color="000000"/>
              <w:right w:val="single" w:sz="8" w:space="0" w:color="000000"/>
            </w:tcBorders>
            <w:shd w:val="clear" w:color="auto" w:fill="auto"/>
            <w:vAlign w:val="center"/>
          </w:tcPr>
          <w:p w14:paraId="060D3C59"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0.000</w:t>
            </w:r>
          </w:p>
        </w:tc>
      </w:tr>
      <w:tr w:rsidR="0031121E" w:rsidRPr="00D654F7" w14:paraId="63EA8CB1" w14:textId="77777777" w:rsidTr="00D654F7">
        <w:trPr>
          <w:trHeight w:val="20"/>
          <w:jc w:val="center"/>
        </w:trPr>
        <w:tc>
          <w:tcPr>
            <w:tcW w:w="2433" w:type="pct"/>
            <w:tcBorders>
              <w:top w:val="nil"/>
              <w:left w:val="single" w:sz="8" w:space="0" w:color="000000"/>
              <w:bottom w:val="single" w:sz="8" w:space="0" w:color="000000"/>
              <w:right w:val="single" w:sz="8" w:space="0" w:color="000000"/>
            </w:tcBorders>
            <w:shd w:val="clear" w:color="auto" w:fill="auto"/>
            <w:vAlign w:val="center"/>
          </w:tcPr>
          <w:p w14:paraId="1A2B9D6F"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Perceived Usefulness (X2) -&gt; Employee Retention (Y)</w:t>
            </w:r>
          </w:p>
        </w:tc>
        <w:tc>
          <w:tcPr>
            <w:tcW w:w="485" w:type="pct"/>
            <w:tcBorders>
              <w:top w:val="nil"/>
              <w:left w:val="nil"/>
              <w:bottom w:val="single" w:sz="8" w:space="0" w:color="000000"/>
              <w:right w:val="single" w:sz="8" w:space="0" w:color="000000"/>
            </w:tcBorders>
            <w:shd w:val="clear" w:color="auto" w:fill="auto"/>
            <w:vAlign w:val="center"/>
          </w:tcPr>
          <w:p w14:paraId="1643761B"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0.384</w:t>
            </w:r>
          </w:p>
        </w:tc>
        <w:tc>
          <w:tcPr>
            <w:tcW w:w="436" w:type="pct"/>
            <w:tcBorders>
              <w:top w:val="nil"/>
              <w:left w:val="nil"/>
              <w:bottom w:val="single" w:sz="8" w:space="0" w:color="000000"/>
              <w:right w:val="single" w:sz="8" w:space="0" w:color="000000"/>
            </w:tcBorders>
            <w:shd w:val="clear" w:color="auto" w:fill="auto"/>
            <w:vAlign w:val="center"/>
          </w:tcPr>
          <w:p w14:paraId="3516A7ED"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0.382</w:t>
            </w:r>
          </w:p>
        </w:tc>
        <w:tc>
          <w:tcPr>
            <w:tcW w:w="528" w:type="pct"/>
            <w:tcBorders>
              <w:top w:val="nil"/>
              <w:left w:val="nil"/>
              <w:bottom w:val="single" w:sz="8" w:space="0" w:color="000000"/>
              <w:right w:val="single" w:sz="8" w:space="0" w:color="000000"/>
            </w:tcBorders>
            <w:shd w:val="clear" w:color="auto" w:fill="auto"/>
            <w:vAlign w:val="center"/>
          </w:tcPr>
          <w:p w14:paraId="4134F8D4"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0.073</w:t>
            </w:r>
          </w:p>
        </w:tc>
        <w:tc>
          <w:tcPr>
            <w:tcW w:w="687" w:type="pct"/>
            <w:tcBorders>
              <w:top w:val="nil"/>
              <w:left w:val="nil"/>
              <w:bottom w:val="single" w:sz="8" w:space="0" w:color="000000"/>
              <w:right w:val="single" w:sz="8" w:space="0" w:color="000000"/>
            </w:tcBorders>
            <w:shd w:val="clear" w:color="auto" w:fill="auto"/>
            <w:vAlign w:val="center"/>
          </w:tcPr>
          <w:p w14:paraId="283AACAB"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5,246</w:t>
            </w:r>
          </w:p>
        </w:tc>
        <w:tc>
          <w:tcPr>
            <w:tcW w:w="431" w:type="pct"/>
            <w:tcBorders>
              <w:top w:val="nil"/>
              <w:left w:val="nil"/>
              <w:bottom w:val="single" w:sz="8" w:space="0" w:color="000000"/>
              <w:right w:val="single" w:sz="8" w:space="0" w:color="000000"/>
            </w:tcBorders>
            <w:shd w:val="clear" w:color="auto" w:fill="auto"/>
            <w:vAlign w:val="center"/>
          </w:tcPr>
          <w:p w14:paraId="6DFED2D1"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0.000</w:t>
            </w:r>
          </w:p>
        </w:tc>
      </w:tr>
    </w:tbl>
    <w:p w14:paraId="38244A61" w14:textId="77777777" w:rsidR="0031121E" w:rsidRPr="00D654F7" w:rsidRDefault="00B9221C" w:rsidP="001779AD">
      <w:pPr>
        <w:spacing w:after="0" w:line="240" w:lineRule="auto"/>
        <w:ind w:left="426"/>
        <w:jc w:val="center"/>
        <w:rPr>
          <w:rFonts w:ascii="Book Antiqua" w:eastAsia="Times New Roman" w:hAnsi="Book Antiqua" w:cs="Times New Roman"/>
          <w:sz w:val="24"/>
          <w:szCs w:val="24"/>
        </w:rPr>
      </w:pPr>
      <w:r w:rsidRPr="00D654F7">
        <w:rPr>
          <w:rFonts w:ascii="Book Antiqua" w:eastAsia="Times New Roman" w:hAnsi="Book Antiqua" w:cs="Times New Roman"/>
          <w:sz w:val="24"/>
          <w:szCs w:val="24"/>
        </w:rPr>
        <w:t>Source: Processed data, 2025</w:t>
      </w:r>
    </w:p>
    <w:p w14:paraId="63462A2D" w14:textId="77777777" w:rsidR="00EB1C2A" w:rsidRPr="00D654F7" w:rsidRDefault="00EB1C2A" w:rsidP="001779AD">
      <w:pPr>
        <w:spacing w:after="0" w:line="240" w:lineRule="auto"/>
        <w:ind w:left="426"/>
        <w:jc w:val="center"/>
        <w:rPr>
          <w:rFonts w:ascii="Book Antiqua" w:eastAsia="Times New Roman" w:hAnsi="Book Antiqua" w:cs="Times New Roman"/>
          <w:sz w:val="24"/>
          <w:szCs w:val="24"/>
        </w:rPr>
      </w:pPr>
    </w:p>
    <w:p w14:paraId="15CCF05E" w14:textId="77777777" w:rsidR="0031121E" w:rsidRPr="00D654F7" w:rsidRDefault="00B9221C" w:rsidP="001779AD">
      <w:pPr>
        <w:spacing w:after="0" w:line="240" w:lineRule="auto"/>
        <w:jc w:val="center"/>
        <w:rPr>
          <w:rFonts w:ascii="Book Antiqua" w:eastAsia="Times New Roman" w:hAnsi="Book Antiqua" w:cs="Times New Roman"/>
          <w:b/>
          <w:bCs/>
          <w:sz w:val="24"/>
          <w:szCs w:val="24"/>
        </w:rPr>
      </w:pPr>
      <w:r w:rsidRPr="00D654F7">
        <w:rPr>
          <w:rFonts w:ascii="Book Antiqua" w:eastAsia="Times New Roman" w:hAnsi="Book Antiqua" w:cs="Times New Roman"/>
          <w:b/>
          <w:bCs/>
          <w:noProof/>
          <w:sz w:val="24"/>
          <w:szCs w:val="24"/>
          <w:lang w:val="en-ID"/>
        </w:rPr>
        <w:drawing>
          <wp:inline distT="0" distB="0" distL="0" distR="0" wp14:anchorId="0E169D4F" wp14:editId="149D871D">
            <wp:extent cx="4275117" cy="1389413"/>
            <wp:effectExtent l="0" t="0" r="0" b="1270"/>
            <wp:docPr id="158297696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4276280" cy="1389791"/>
                    </a:xfrm>
                    <a:prstGeom prst="rect">
                      <a:avLst/>
                    </a:prstGeom>
                    <a:ln/>
                  </pic:spPr>
                </pic:pic>
              </a:graphicData>
            </a:graphic>
          </wp:inline>
        </w:drawing>
      </w:r>
    </w:p>
    <w:p w14:paraId="722E0ED3" w14:textId="77777777" w:rsidR="0031121E" w:rsidRPr="00D654F7" w:rsidRDefault="00B9221C" w:rsidP="001779AD">
      <w:pPr>
        <w:spacing w:after="0" w:line="240" w:lineRule="auto"/>
        <w:jc w:val="center"/>
        <w:rPr>
          <w:rFonts w:ascii="Book Antiqua" w:eastAsia="Times New Roman" w:hAnsi="Book Antiqua" w:cs="Times New Roman"/>
          <w:b/>
          <w:bCs/>
          <w:sz w:val="24"/>
          <w:szCs w:val="24"/>
        </w:rPr>
      </w:pPr>
      <w:bookmarkStart w:id="15" w:name="_heading=h.m21csgypseyb" w:colFirst="0" w:colLast="0"/>
      <w:bookmarkEnd w:id="15"/>
      <w:r w:rsidRPr="00D654F7">
        <w:rPr>
          <w:rFonts w:ascii="Book Antiqua" w:eastAsia="Times New Roman" w:hAnsi="Book Antiqua" w:cs="Times New Roman"/>
          <w:b/>
          <w:bCs/>
          <w:sz w:val="24"/>
          <w:szCs w:val="24"/>
        </w:rPr>
        <w:t>Figure 2. Path Coefficient</w:t>
      </w:r>
    </w:p>
    <w:p w14:paraId="6BFBBC32" w14:textId="77777777" w:rsidR="00045B62" w:rsidRPr="00D654F7" w:rsidRDefault="00045B62" w:rsidP="00D52B6B">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The test results show that employee engagement has a positive influence on the meaning of work, as indicated by a path coefficient value of 0.369, a t-statistic value of 3.130, and a p-value of 0.002. In addition, employee engagement also has a direct influence on employee retention with a coefficient of 0.312, a t-statistic value of 3.777, and a significance level of 0.000. The meaning of work is further proven to have a positive influence on employee retention, with a coefficient of 0.293, a t-statistic value of 3.052, and a p-value of 0.002.</w:t>
      </w:r>
    </w:p>
    <w:p w14:paraId="336FBAA2" w14:textId="77777777" w:rsidR="0031121E" w:rsidRPr="00D654F7" w:rsidRDefault="00045B62" w:rsidP="00D52B6B">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Meanwhile, employee perceptions of the usefulness of CSR programs significantly contribute to increasing the meaning of work, as reflected in the coefficient value of 0.406, t-statistic of 3.598, and p-value of 0.000. Perceived usefulness also shows the strongest direct influence on employee retention, with a path coefficient of 0.384, t-statistic of 5.246, and a significance level of 0.000. Based on these findings, it can be concluded that employee retention is influenced by employee engagement and perceived usefulness, both directly and indirectly through the role of work meaning as a mediating variable. Details regarding the indirect influence between variables will be explained in the following table.</w:t>
      </w:r>
    </w:p>
    <w:p w14:paraId="6057A50D" w14:textId="77777777" w:rsidR="0031121E" w:rsidRPr="00D654F7" w:rsidRDefault="00B9221C" w:rsidP="001779AD">
      <w:pPr>
        <w:spacing w:after="0" w:line="240" w:lineRule="auto"/>
        <w:ind w:left="426" w:firstLine="567"/>
        <w:jc w:val="center"/>
        <w:rPr>
          <w:rFonts w:ascii="Book Antiqua" w:eastAsia="Times New Roman" w:hAnsi="Book Antiqua" w:cs="Times New Roman"/>
          <w:sz w:val="24"/>
          <w:szCs w:val="24"/>
        </w:rPr>
      </w:pPr>
      <w:bookmarkStart w:id="16" w:name="_heading=h.57ysop35pup" w:colFirst="0" w:colLast="0"/>
      <w:bookmarkEnd w:id="16"/>
      <w:r w:rsidRPr="00D654F7">
        <w:rPr>
          <w:rFonts w:ascii="Book Antiqua" w:eastAsia="Times New Roman" w:hAnsi="Book Antiqua" w:cs="Times New Roman"/>
          <w:b/>
          <w:bCs/>
          <w:sz w:val="24"/>
          <w:szCs w:val="24"/>
        </w:rPr>
        <w:t>Table 13. Indirect Effect</w:t>
      </w:r>
    </w:p>
    <w:tbl>
      <w:tblPr>
        <w:tblStyle w:val="ab"/>
        <w:tblW w:w="5000" w:type="pct"/>
        <w:jc w:val="center"/>
        <w:tblLook w:val="0400" w:firstRow="0" w:lastRow="0" w:firstColumn="0" w:lastColumn="0" w:noHBand="0" w:noVBand="1"/>
      </w:tblPr>
      <w:tblGrid>
        <w:gridCol w:w="3177"/>
        <w:gridCol w:w="1151"/>
        <w:gridCol w:w="1017"/>
        <w:gridCol w:w="1258"/>
        <w:gridCol w:w="1730"/>
        <w:gridCol w:w="924"/>
      </w:tblGrid>
      <w:tr w:rsidR="0031121E" w:rsidRPr="00D654F7" w14:paraId="13E7EED0" w14:textId="77777777" w:rsidTr="00D654F7">
        <w:trPr>
          <w:trHeight w:val="20"/>
          <w:jc w:val="center"/>
        </w:trPr>
        <w:tc>
          <w:tcPr>
            <w:tcW w:w="211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D63D983" w14:textId="77777777" w:rsidR="0031121E" w:rsidRPr="00D654F7" w:rsidRDefault="00B9221C" w:rsidP="001779AD">
            <w:pPr>
              <w:spacing w:after="0" w:line="240" w:lineRule="auto"/>
              <w:jc w:val="center"/>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Variables</w:t>
            </w:r>
          </w:p>
        </w:tc>
        <w:tc>
          <w:tcPr>
            <w:tcW w:w="556" w:type="pct"/>
            <w:tcBorders>
              <w:top w:val="single" w:sz="8" w:space="0" w:color="000000"/>
              <w:left w:val="nil"/>
              <w:bottom w:val="single" w:sz="8" w:space="0" w:color="000000"/>
              <w:right w:val="single" w:sz="8" w:space="0" w:color="000000"/>
            </w:tcBorders>
            <w:shd w:val="clear" w:color="auto" w:fill="auto"/>
            <w:vAlign w:val="center"/>
          </w:tcPr>
          <w:p w14:paraId="1A9C3EC0" w14:textId="77777777" w:rsidR="0031121E" w:rsidRPr="00D654F7" w:rsidRDefault="00B9221C" w:rsidP="001779AD">
            <w:pPr>
              <w:spacing w:after="0" w:line="240" w:lineRule="auto"/>
              <w:jc w:val="center"/>
              <w:rPr>
                <w:rFonts w:ascii="Book Antiqua" w:eastAsia="Times New Roman" w:hAnsi="Book Antiqua" w:cs="Times New Roman"/>
                <w:b/>
                <w:bCs/>
                <w:i/>
                <w:iCs/>
                <w:color w:val="000000"/>
                <w:sz w:val="24"/>
                <w:szCs w:val="24"/>
              </w:rPr>
            </w:pPr>
            <w:r w:rsidRPr="00D654F7">
              <w:rPr>
                <w:rFonts w:ascii="Book Antiqua" w:eastAsia="Times New Roman" w:hAnsi="Book Antiqua" w:cs="Times New Roman"/>
                <w:b/>
                <w:bCs/>
                <w:i/>
                <w:iCs/>
                <w:color w:val="000000"/>
                <w:sz w:val="24"/>
                <w:szCs w:val="24"/>
              </w:rPr>
              <w:t>Original sample (O)</w:t>
            </w:r>
          </w:p>
        </w:tc>
        <w:tc>
          <w:tcPr>
            <w:tcW w:w="504" w:type="pct"/>
            <w:tcBorders>
              <w:top w:val="single" w:sz="8" w:space="0" w:color="000000"/>
              <w:left w:val="nil"/>
              <w:bottom w:val="single" w:sz="8" w:space="0" w:color="000000"/>
              <w:right w:val="single" w:sz="8" w:space="0" w:color="000000"/>
            </w:tcBorders>
            <w:shd w:val="clear" w:color="auto" w:fill="auto"/>
            <w:vAlign w:val="center"/>
          </w:tcPr>
          <w:p w14:paraId="771FFC27" w14:textId="77777777" w:rsidR="0031121E" w:rsidRPr="00D654F7" w:rsidRDefault="00B9221C" w:rsidP="001779AD">
            <w:pPr>
              <w:spacing w:after="0" w:line="240" w:lineRule="auto"/>
              <w:jc w:val="center"/>
              <w:rPr>
                <w:rFonts w:ascii="Book Antiqua" w:eastAsia="Times New Roman" w:hAnsi="Book Antiqua" w:cs="Times New Roman"/>
                <w:b/>
                <w:bCs/>
                <w:i/>
                <w:iCs/>
                <w:color w:val="000000"/>
                <w:sz w:val="24"/>
                <w:szCs w:val="24"/>
              </w:rPr>
            </w:pPr>
            <w:r w:rsidRPr="00D654F7">
              <w:rPr>
                <w:rFonts w:ascii="Book Antiqua" w:eastAsia="Times New Roman" w:hAnsi="Book Antiqua" w:cs="Times New Roman"/>
                <w:b/>
                <w:bCs/>
                <w:i/>
                <w:iCs/>
                <w:color w:val="000000"/>
                <w:sz w:val="24"/>
                <w:szCs w:val="24"/>
              </w:rPr>
              <w:t>Sample mean (M)</w:t>
            </w:r>
          </w:p>
        </w:tc>
        <w:tc>
          <w:tcPr>
            <w:tcW w:w="609" w:type="pct"/>
            <w:tcBorders>
              <w:top w:val="single" w:sz="8" w:space="0" w:color="000000"/>
              <w:left w:val="nil"/>
              <w:bottom w:val="single" w:sz="8" w:space="0" w:color="000000"/>
              <w:right w:val="single" w:sz="8" w:space="0" w:color="000000"/>
            </w:tcBorders>
            <w:shd w:val="clear" w:color="auto" w:fill="auto"/>
            <w:vAlign w:val="center"/>
          </w:tcPr>
          <w:p w14:paraId="21194B0C" w14:textId="77777777" w:rsidR="0031121E" w:rsidRPr="00D654F7" w:rsidRDefault="00B9221C" w:rsidP="001779AD">
            <w:pPr>
              <w:spacing w:after="0" w:line="240" w:lineRule="auto"/>
              <w:jc w:val="center"/>
              <w:rPr>
                <w:rFonts w:ascii="Book Antiqua" w:eastAsia="Times New Roman" w:hAnsi="Book Antiqua" w:cs="Times New Roman"/>
                <w:b/>
                <w:bCs/>
                <w:i/>
                <w:iCs/>
                <w:color w:val="000000"/>
                <w:sz w:val="24"/>
                <w:szCs w:val="24"/>
              </w:rPr>
            </w:pPr>
            <w:r w:rsidRPr="00D654F7">
              <w:rPr>
                <w:rFonts w:ascii="Book Antiqua" w:eastAsia="Times New Roman" w:hAnsi="Book Antiqua" w:cs="Times New Roman"/>
                <w:b/>
                <w:bCs/>
                <w:i/>
                <w:iCs/>
                <w:color w:val="000000"/>
                <w:sz w:val="24"/>
                <w:szCs w:val="24"/>
              </w:rPr>
              <w:t>Standard deviation (STDEV)</w:t>
            </w:r>
          </w:p>
        </w:tc>
        <w:tc>
          <w:tcPr>
            <w:tcW w:w="767" w:type="pct"/>
            <w:tcBorders>
              <w:top w:val="single" w:sz="8" w:space="0" w:color="000000"/>
              <w:left w:val="nil"/>
              <w:bottom w:val="single" w:sz="8" w:space="0" w:color="000000"/>
              <w:right w:val="single" w:sz="8" w:space="0" w:color="000000"/>
            </w:tcBorders>
            <w:shd w:val="clear" w:color="auto" w:fill="auto"/>
            <w:vAlign w:val="center"/>
          </w:tcPr>
          <w:p w14:paraId="6260CDF8" w14:textId="77777777" w:rsidR="0031121E" w:rsidRPr="00D654F7" w:rsidRDefault="00B9221C" w:rsidP="001779AD">
            <w:pPr>
              <w:spacing w:after="0" w:line="240" w:lineRule="auto"/>
              <w:jc w:val="center"/>
              <w:rPr>
                <w:rFonts w:ascii="Book Antiqua" w:eastAsia="Times New Roman" w:hAnsi="Book Antiqua" w:cs="Times New Roman"/>
                <w:b/>
                <w:bCs/>
                <w:i/>
                <w:iCs/>
                <w:color w:val="000000"/>
                <w:sz w:val="24"/>
                <w:szCs w:val="24"/>
              </w:rPr>
            </w:pPr>
            <w:r w:rsidRPr="00D654F7">
              <w:rPr>
                <w:rFonts w:ascii="Book Antiqua" w:eastAsia="Times New Roman" w:hAnsi="Book Antiqua" w:cs="Times New Roman"/>
                <w:b/>
                <w:bCs/>
                <w:i/>
                <w:iCs/>
                <w:color w:val="000000"/>
                <w:sz w:val="24"/>
                <w:szCs w:val="24"/>
              </w:rPr>
              <w:t>T statistics (|O/STDEV|)</w:t>
            </w:r>
          </w:p>
        </w:tc>
        <w:tc>
          <w:tcPr>
            <w:tcW w:w="451" w:type="pct"/>
            <w:tcBorders>
              <w:top w:val="single" w:sz="8" w:space="0" w:color="000000"/>
              <w:left w:val="nil"/>
              <w:bottom w:val="single" w:sz="8" w:space="0" w:color="000000"/>
              <w:right w:val="single" w:sz="8" w:space="0" w:color="000000"/>
            </w:tcBorders>
            <w:shd w:val="clear" w:color="auto" w:fill="auto"/>
            <w:vAlign w:val="center"/>
          </w:tcPr>
          <w:p w14:paraId="36CA8F4B" w14:textId="77777777" w:rsidR="0031121E" w:rsidRPr="00D654F7" w:rsidRDefault="00B9221C" w:rsidP="001779AD">
            <w:pPr>
              <w:spacing w:after="0" w:line="240" w:lineRule="auto"/>
              <w:jc w:val="center"/>
              <w:rPr>
                <w:rFonts w:ascii="Book Antiqua" w:eastAsia="Times New Roman" w:hAnsi="Book Antiqua" w:cs="Times New Roman"/>
                <w:b/>
                <w:bCs/>
                <w:i/>
                <w:iCs/>
                <w:color w:val="000000"/>
                <w:sz w:val="24"/>
                <w:szCs w:val="24"/>
              </w:rPr>
            </w:pPr>
            <w:r w:rsidRPr="00D654F7">
              <w:rPr>
                <w:rFonts w:ascii="Book Antiqua" w:eastAsia="Times New Roman" w:hAnsi="Book Antiqua" w:cs="Times New Roman"/>
                <w:b/>
                <w:bCs/>
                <w:i/>
                <w:iCs/>
                <w:color w:val="000000"/>
                <w:sz w:val="24"/>
                <w:szCs w:val="24"/>
              </w:rPr>
              <w:t>P values</w:t>
            </w:r>
          </w:p>
        </w:tc>
      </w:tr>
      <w:tr w:rsidR="0031121E" w:rsidRPr="00D654F7" w14:paraId="6DCBEB33" w14:textId="77777777" w:rsidTr="00D654F7">
        <w:trPr>
          <w:trHeight w:val="20"/>
          <w:jc w:val="center"/>
        </w:trPr>
        <w:tc>
          <w:tcPr>
            <w:tcW w:w="2113" w:type="pct"/>
            <w:tcBorders>
              <w:top w:val="nil"/>
              <w:left w:val="single" w:sz="8" w:space="0" w:color="000000"/>
              <w:bottom w:val="single" w:sz="8" w:space="0" w:color="000000"/>
              <w:right w:val="single" w:sz="8" w:space="0" w:color="000000"/>
            </w:tcBorders>
            <w:shd w:val="clear" w:color="auto" w:fill="auto"/>
            <w:vAlign w:val="center"/>
          </w:tcPr>
          <w:p w14:paraId="43C16EBD"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Employee Engagement (X1) -&gt; Meaning of Work (M) -&gt; Employee Retention (Y)</w:t>
            </w:r>
          </w:p>
        </w:tc>
        <w:tc>
          <w:tcPr>
            <w:tcW w:w="556" w:type="pct"/>
            <w:tcBorders>
              <w:top w:val="nil"/>
              <w:left w:val="nil"/>
              <w:bottom w:val="single" w:sz="8" w:space="0" w:color="000000"/>
              <w:right w:val="single" w:sz="8" w:space="0" w:color="000000"/>
            </w:tcBorders>
            <w:shd w:val="clear" w:color="auto" w:fill="auto"/>
            <w:vAlign w:val="center"/>
          </w:tcPr>
          <w:p w14:paraId="6EC225F1"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0.108</w:t>
            </w:r>
          </w:p>
        </w:tc>
        <w:tc>
          <w:tcPr>
            <w:tcW w:w="504" w:type="pct"/>
            <w:tcBorders>
              <w:top w:val="nil"/>
              <w:left w:val="nil"/>
              <w:bottom w:val="single" w:sz="8" w:space="0" w:color="000000"/>
              <w:right w:val="single" w:sz="8" w:space="0" w:color="000000"/>
            </w:tcBorders>
            <w:shd w:val="clear" w:color="auto" w:fill="auto"/>
            <w:vAlign w:val="center"/>
          </w:tcPr>
          <w:p w14:paraId="29369439"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0.11</w:t>
            </w:r>
          </w:p>
        </w:tc>
        <w:tc>
          <w:tcPr>
            <w:tcW w:w="609" w:type="pct"/>
            <w:tcBorders>
              <w:top w:val="nil"/>
              <w:left w:val="nil"/>
              <w:bottom w:val="single" w:sz="8" w:space="0" w:color="000000"/>
              <w:right w:val="single" w:sz="8" w:space="0" w:color="000000"/>
            </w:tcBorders>
            <w:shd w:val="clear" w:color="auto" w:fill="auto"/>
            <w:vAlign w:val="center"/>
          </w:tcPr>
          <w:p w14:paraId="2DE12A59"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0.052</w:t>
            </w:r>
          </w:p>
        </w:tc>
        <w:tc>
          <w:tcPr>
            <w:tcW w:w="767" w:type="pct"/>
            <w:tcBorders>
              <w:top w:val="nil"/>
              <w:left w:val="nil"/>
              <w:bottom w:val="single" w:sz="8" w:space="0" w:color="000000"/>
              <w:right w:val="single" w:sz="8" w:space="0" w:color="000000"/>
            </w:tcBorders>
            <w:shd w:val="clear" w:color="auto" w:fill="auto"/>
            <w:vAlign w:val="center"/>
          </w:tcPr>
          <w:p w14:paraId="3222516E"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2,073</w:t>
            </w:r>
          </w:p>
        </w:tc>
        <w:tc>
          <w:tcPr>
            <w:tcW w:w="451" w:type="pct"/>
            <w:tcBorders>
              <w:top w:val="nil"/>
              <w:left w:val="nil"/>
              <w:bottom w:val="single" w:sz="8" w:space="0" w:color="000000"/>
              <w:right w:val="single" w:sz="8" w:space="0" w:color="000000"/>
            </w:tcBorders>
            <w:shd w:val="clear" w:color="auto" w:fill="auto"/>
            <w:vAlign w:val="center"/>
          </w:tcPr>
          <w:p w14:paraId="699AAC2B"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0.038</w:t>
            </w:r>
          </w:p>
        </w:tc>
      </w:tr>
      <w:tr w:rsidR="0031121E" w:rsidRPr="00D654F7" w14:paraId="03D06B51" w14:textId="77777777" w:rsidTr="00D654F7">
        <w:trPr>
          <w:trHeight w:val="20"/>
          <w:jc w:val="center"/>
        </w:trPr>
        <w:tc>
          <w:tcPr>
            <w:tcW w:w="2113" w:type="pct"/>
            <w:tcBorders>
              <w:top w:val="nil"/>
              <w:left w:val="single" w:sz="8" w:space="0" w:color="000000"/>
              <w:bottom w:val="single" w:sz="8" w:space="0" w:color="000000"/>
              <w:right w:val="single" w:sz="8" w:space="0" w:color="000000"/>
            </w:tcBorders>
            <w:shd w:val="clear" w:color="auto" w:fill="auto"/>
            <w:vAlign w:val="center"/>
          </w:tcPr>
          <w:p w14:paraId="430AEDDA"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Perceived Usefulness (X2) -&gt; Meaning of Work (M) -&gt; Employee Retention (Y)</w:t>
            </w:r>
          </w:p>
        </w:tc>
        <w:tc>
          <w:tcPr>
            <w:tcW w:w="556" w:type="pct"/>
            <w:tcBorders>
              <w:top w:val="nil"/>
              <w:left w:val="nil"/>
              <w:bottom w:val="single" w:sz="8" w:space="0" w:color="000000"/>
              <w:right w:val="single" w:sz="8" w:space="0" w:color="000000"/>
            </w:tcBorders>
            <w:shd w:val="clear" w:color="auto" w:fill="auto"/>
            <w:vAlign w:val="center"/>
          </w:tcPr>
          <w:p w14:paraId="15539472"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0.119</w:t>
            </w:r>
          </w:p>
        </w:tc>
        <w:tc>
          <w:tcPr>
            <w:tcW w:w="504" w:type="pct"/>
            <w:tcBorders>
              <w:top w:val="nil"/>
              <w:left w:val="nil"/>
              <w:bottom w:val="single" w:sz="8" w:space="0" w:color="000000"/>
              <w:right w:val="single" w:sz="8" w:space="0" w:color="000000"/>
            </w:tcBorders>
            <w:shd w:val="clear" w:color="auto" w:fill="auto"/>
            <w:vAlign w:val="center"/>
          </w:tcPr>
          <w:p w14:paraId="4272A17F"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0.122</w:t>
            </w:r>
          </w:p>
        </w:tc>
        <w:tc>
          <w:tcPr>
            <w:tcW w:w="609" w:type="pct"/>
            <w:tcBorders>
              <w:top w:val="nil"/>
              <w:left w:val="nil"/>
              <w:bottom w:val="single" w:sz="8" w:space="0" w:color="000000"/>
              <w:right w:val="single" w:sz="8" w:space="0" w:color="000000"/>
            </w:tcBorders>
            <w:shd w:val="clear" w:color="auto" w:fill="auto"/>
            <w:vAlign w:val="center"/>
          </w:tcPr>
          <w:p w14:paraId="42AA54EF"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0.059</w:t>
            </w:r>
          </w:p>
        </w:tc>
        <w:tc>
          <w:tcPr>
            <w:tcW w:w="767" w:type="pct"/>
            <w:tcBorders>
              <w:top w:val="nil"/>
              <w:left w:val="nil"/>
              <w:bottom w:val="single" w:sz="8" w:space="0" w:color="000000"/>
              <w:right w:val="single" w:sz="8" w:space="0" w:color="000000"/>
            </w:tcBorders>
            <w:shd w:val="clear" w:color="auto" w:fill="auto"/>
            <w:vAlign w:val="center"/>
          </w:tcPr>
          <w:p w14:paraId="1B893FD3"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2,024</w:t>
            </w:r>
          </w:p>
        </w:tc>
        <w:tc>
          <w:tcPr>
            <w:tcW w:w="451" w:type="pct"/>
            <w:tcBorders>
              <w:top w:val="nil"/>
              <w:left w:val="nil"/>
              <w:bottom w:val="single" w:sz="8" w:space="0" w:color="000000"/>
              <w:right w:val="single" w:sz="8" w:space="0" w:color="000000"/>
            </w:tcBorders>
            <w:shd w:val="clear" w:color="auto" w:fill="auto"/>
            <w:vAlign w:val="center"/>
          </w:tcPr>
          <w:p w14:paraId="7B6243D0"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0.043</w:t>
            </w:r>
          </w:p>
        </w:tc>
      </w:tr>
    </w:tbl>
    <w:p w14:paraId="6DB1B380" w14:textId="77777777" w:rsidR="0031121E" w:rsidRPr="00D654F7" w:rsidRDefault="00B9221C" w:rsidP="001779AD">
      <w:pPr>
        <w:spacing w:after="0" w:line="240" w:lineRule="auto"/>
        <w:ind w:left="426"/>
        <w:jc w:val="center"/>
        <w:rPr>
          <w:rFonts w:ascii="Book Antiqua" w:eastAsia="Times New Roman" w:hAnsi="Book Antiqua" w:cs="Times New Roman"/>
          <w:sz w:val="24"/>
          <w:szCs w:val="24"/>
        </w:rPr>
      </w:pPr>
      <w:r w:rsidRPr="00D654F7">
        <w:rPr>
          <w:rFonts w:ascii="Book Antiqua" w:eastAsia="Times New Roman" w:hAnsi="Book Antiqua" w:cs="Times New Roman"/>
          <w:sz w:val="24"/>
          <w:szCs w:val="24"/>
        </w:rPr>
        <w:t>Source: Processed data, 2025</w:t>
      </w:r>
    </w:p>
    <w:p w14:paraId="554034BA" w14:textId="77777777" w:rsidR="0031121E" w:rsidRPr="00D654F7" w:rsidRDefault="00045B62" w:rsidP="00D52B6B">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Meaningfulness of work was shown to act as a significant mediator in the relationship between the two predictor variables and employee retention. The indirect effect of employee engagement on retention is reflected in the coefficient value of 0.108, supported by a t-statistic of 2.073 and a p-value of 0.038. In addition, perceived usefulness also showed a mediating effect through meaning of work on employee retention, with a coefficient value of 0.119, a t-statistic of 2.024, and a p-value of 0.043. These findings indicate that increasing meaning of work plays an important role as a mechanism explaining how employee engagement and perceptions of program usefulness contribute to employees' decisions to remain in the organization.</w:t>
      </w:r>
    </w:p>
    <w:p w14:paraId="1B33ADE5" w14:textId="77777777" w:rsidR="0031121E" w:rsidRPr="00D654F7" w:rsidRDefault="0031121E" w:rsidP="001779AD">
      <w:pPr>
        <w:spacing w:after="0" w:line="240" w:lineRule="auto"/>
        <w:jc w:val="both"/>
        <w:rPr>
          <w:rFonts w:ascii="Book Antiqua" w:eastAsia="Times New Roman" w:hAnsi="Book Antiqua" w:cs="Times New Roman"/>
          <w:b/>
          <w:bCs/>
          <w:sz w:val="24"/>
          <w:szCs w:val="24"/>
        </w:rPr>
      </w:pPr>
    </w:p>
    <w:p w14:paraId="28A2FA5E" w14:textId="77777777" w:rsidR="0031121E" w:rsidRPr="00D654F7" w:rsidRDefault="00B9221C" w:rsidP="00D52B6B">
      <w:pPr>
        <w:numPr>
          <w:ilvl w:val="0"/>
          <w:numId w:val="4"/>
        </w:numPr>
        <w:pBdr>
          <w:top w:val="nil"/>
          <w:left w:val="nil"/>
          <w:bottom w:val="nil"/>
          <w:right w:val="nil"/>
          <w:between w:val="nil"/>
        </w:pBdr>
        <w:spacing w:after="0" w:line="240" w:lineRule="auto"/>
        <w:ind w:left="357" w:hanging="357"/>
        <w:jc w:val="both"/>
        <w:rPr>
          <w:rFonts w:ascii="Book Antiqua" w:eastAsia="Times New Roman" w:hAnsi="Book Antiqua" w:cs="Times New Roman"/>
          <w:b/>
          <w:bCs/>
          <w:i/>
          <w:iCs/>
          <w:color w:val="000000"/>
          <w:sz w:val="24"/>
          <w:szCs w:val="24"/>
        </w:rPr>
      </w:pPr>
      <w:r w:rsidRPr="00D654F7">
        <w:rPr>
          <w:rFonts w:ascii="Book Antiqua" w:eastAsia="Times New Roman" w:hAnsi="Book Antiqua" w:cs="Times New Roman"/>
          <w:b/>
          <w:bCs/>
          <w:i/>
          <w:iCs/>
          <w:color w:val="000000"/>
          <w:sz w:val="24"/>
          <w:szCs w:val="24"/>
        </w:rPr>
        <w:t>Assess the Model's Explanatory Power</w:t>
      </w:r>
    </w:p>
    <w:p w14:paraId="0F6BA944" w14:textId="77777777" w:rsidR="0031121E" w:rsidRPr="00D654F7" w:rsidRDefault="00B9221C" w:rsidP="00D52B6B">
      <w:pPr>
        <w:numPr>
          <w:ilvl w:val="0"/>
          <w:numId w:val="5"/>
        </w:numPr>
        <w:pBdr>
          <w:top w:val="nil"/>
          <w:left w:val="nil"/>
          <w:bottom w:val="nil"/>
          <w:right w:val="nil"/>
          <w:between w:val="nil"/>
        </w:pBdr>
        <w:spacing w:after="0" w:line="240" w:lineRule="auto"/>
        <w:ind w:left="357" w:hanging="357"/>
        <w:jc w:val="both"/>
        <w:rPr>
          <w:rFonts w:ascii="Book Antiqua" w:eastAsia="Times New Roman" w:hAnsi="Book Antiqua" w:cs="Times New Roman"/>
          <w:b/>
          <w:bCs/>
          <w:i/>
          <w:iCs/>
          <w:color w:val="000000"/>
          <w:sz w:val="24"/>
          <w:szCs w:val="24"/>
        </w:rPr>
      </w:pPr>
      <w:r w:rsidRPr="00D654F7">
        <w:rPr>
          <w:rFonts w:ascii="Book Antiqua" w:eastAsia="Times New Roman" w:hAnsi="Book Antiqua" w:cs="Times New Roman"/>
          <w:b/>
          <w:bCs/>
          <w:color w:val="000000"/>
          <w:sz w:val="24"/>
          <w:szCs w:val="24"/>
        </w:rPr>
        <w:t>R-Square Value</w:t>
      </w:r>
    </w:p>
    <w:p w14:paraId="30494343" w14:textId="77777777" w:rsidR="0031121E" w:rsidRPr="00D654F7" w:rsidRDefault="00045B62" w:rsidP="00D52B6B">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The third stage in structural model evaluation focuses on assessing the model's ability to explain the dependent variable. This evaluation is conducted to determine the extent to which the PLS path model is able to represent the relationships contained in the research data. One commonly used measure to assess the explanatory power of a model is the coefficient of determination (R²). The R² value indicates the proportion of variance in the dependent variable that can be explained by the independent variables in the model. The higher the R² value, the greater the model's ability to explain and predict the phenomenon under study. The results of the R² calculation are presented in the following table.</w:t>
      </w:r>
    </w:p>
    <w:p w14:paraId="05A6259A" w14:textId="77777777" w:rsidR="0031121E" w:rsidRPr="00D654F7" w:rsidRDefault="00B9221C" w:rsidP="00D52B6B">
      <w:pPr>
        <w:spacing w:after="0" w:line="240" w:lineRule="auto"/>
        <w:jc w:val="center"/>
        <w:rPr>
          <w:rFonts w:ascii="Book Antiqua" w:eastAsia="Times New Roman" w:hAnsi="Book Antiqua" w:cs="Times New Roman"/>
          <w:b/>
          <w:bCs/>
          <w:sz w:val="24"/>
          <w:szCs w:val="24"/>
        </w:rPr>
      </w:pPr>
      <w:bookmarkStart w:id="17" w:name="_heading=h.e2cbq2t9kjde" w:colFirst="0" w:colLast="0"/>
      <w:bookmarkStart w:id="18" w:name="_heading=h.9ywtk7v71ou0" w:colFirst="0" w:colLast="0"/>
      <w:bookmarkStart w:id="19" w:name="_heading=h.6geudx6lhb7" w:colFirst="0" w:colLast="0"/>
      <w:bookmarkEnd w:id="17"/>
      <w:bookmarkEnd w:id="18"/>
      <w:bookmarkEnd w:id="19"/>
      <w:r w:rsidRPr="00D654F7">
        <w:rPr>
          <w:rFonts w:ascii="Book Antiqua" w:eastAsia="Times New Roman" w:hAnsi="Book Antiqua" w:cs="Times New Roman"/>
          <w:b/>
          <w:bCs/>
          <w:sz w:val="24"/>
          <w:szCs w:val="24"/>
        </w:rPr>
        <w:t>Table 14. R-Square</w:t>
      </w:r>
    </w:p>
    <w:tbl>
      <w:tblPr>
        <w:tblStyle w:val="ac"/>
        <w:tblW w:w="5660" w:type="dxa"/>
        <w:jc w:val="center"/>
        <w:tblLayout w:type="fixed"/>
        <w:tblLook w:val="0400" w:firstRow="0" w:lastRow="0" w:firstColumn="0" w:lastColumn="0" w:noHBand="0" w:noVBand="1"/>
      </w:tblPr>
      <w:tblGrid>
        <w:gridCol w:w="2500"/>
        <w:gridCol w:w="1500"/>
        <w:gridCol w:w="1660"/>
      </w:tblGrid>
      <w:tr w:rsidR="0031121E" w:rsidRPr="00D654F7" w14:paraId="76A7D6FB" w14:textId="77777777">
        <w:trPr>
          <w:trHeight w:val="615"/>
          <w:jc w:val="center"/>
        </w:trPr>
        <w:tc>
          <w:tcPr>
            <w:tcW w:w="250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1FD4AA1" w14:textId="77777777" w:rsidR="0031121E" w:rsidRPr="00D654F7" w:rsidRDefault="0031121E" w:rsidP="001779AD">
            <w:pPr>
              <w:spacing w:after="0" w:line="240" w:lineRule="auto"/>
              <w:rPr>
                <w:rFonts w:ascii="Book Antiqua" w:hAnsi="Book Antiqua" w:cs="Times New Roman"/>
                <w:b/>
                <w:bCs/>
                <w:color w:val="000000"/>
                <w:sz w:val="24"/>
                <w:szCs w:val="24"/>
              </w:rPr>
            </w:pPr>
          </w:p>
        </w:tc>
        <w:tc>
          <w:tcPr>
            <w:tcW w:w="1500" w:type="dxa"/>
            <w:tcBorders>
              <w:top w:val="single" w:sz="8" w:space="0" w:color="000000"/>
              <w:left w:val="nil"/>
              <w:bottom w:val="single" w:sz="8" w:space="0" w:color="000000"/>
              <w:right w:val="single" w:sz="8" w:space="0" w:color="000000"/>
            </w:tcBorders>
            <w:shd w:val="clear" w:color="auto" w:fill="auto"/>
            <w:vAlign w:val="center"/>
          </w:tcPr>
          <w:p w14:paraId="7D24D97A" w14:textId="77777777" w:rsidR="0031121E" w:rsidRPr="00D654F7" w:rsidRDefault="00B9221C" w:rsidP="001779AD">
            <w:pPr>
              <w:spacing w:after="0" w:line="240" w:lineRule="auto"/>
              <w:jc w:val="right"/>
              <w:rPr>
                <w:rFonts w:ascii="Book Antiqua" w:hAnsi="Book Antiqua" w:cs="Times New Roman"/>
                <w:b/>
                <w:bCs/>
                <w:i/>
                <w:iCs/>
                <w:color w:val="000000"/>
                <w:sz w:val="24"/>
                <w:szCs w:val="24"/>
              </w:rPr>
            </w:pPr>
            <w:r w:rsidRPr="00D654F7">
              <w:rPr>
                <w:rFonts w:ascii="Book Antiqua" w:hAnsi="Book Antiqua" w:cs="Times New Roman"/>
                <w:b/>
                <w:bCs/>
                <w:i/>
                <w:iCs/>
                <w:color w:val="000000"/>
                <w:sz w:val="24"/>
                <w:szCs w:val="24"/>
              </w:rPr>
              <w:t>R-square</w:t>
            </w:r>
          </w:p>
        </w:tc>
        <w:tc>
          <w:tcPr>
            <w:tcW w:w="1660" w:type="dxa"/>
            <w:tcBorders>
              <w:top w:val="single" w:sz="8" w:space="0" w:color="000000"/>
              <w:left w:val="nil"/>
              <w:bottom w:val="single" w:sz="8" w:space="0" w:color="000000"/>
              <w:right w:val="single" w:sz="8" w:space="0" w:color="000000"/>
            </w:tcBorders>
            <w:shd w:val="clear" w:color="auto" w:fill="auto"/>
            <w:vAlign w:val="center"/>
          </w:tcPr>
          <w:p w14:paraId="09B8191B" w14:textId="77777777" w:rsidR="0031121E" w:rsidRPr="00D654F7" w:rsidRDefault="00B9221C" w:rsidP="001779AD">
            <w:pPr>
              <w:spacing w:after="0" w:line="240" w:lineRule="auto"/>
              <w:jc w:val="right"/>
              <w:rPr>
                <w:rFonts w:ascii="Book Antiqua" w:hAnsi="Book Antiqua" w:cs="Times New Roman"/>
                <w:b/>
                <w:bCs/>
                <w:i/>
                <w:iCs/>
                <w:color w:val="000000"/>
                <w:sz w:val="24"/>
                <w:szCs w:val="24"/>
              </w:rPr>
            </w:pPr>
            <w:r w:rsidRPr="00D654F7">
              <w:rPr>
                <w:rFonts w:ascii="Book Antiqua" w:hAnsi="Book Antiqua" w:cs="Times New Roman"/>
                <w:b/>
                <w:bCs/>
                <w:i/>
                <w:iCs/>
                <w:color w:val="000000"/>
                <w:sz w:val="24"/>
                <w:szCs w:val="24"/>
              </w:rPr>
              <w:t>R-square adjusted</w:t>
            </w:r>
          </w:p>
        </w:tc>
      </w:tr>
      <w:tr w:rsidR="0031121E" w:rsidRPr="00D654F7" w14:paraId="568D1A5C" w14:textId="77777777">
        <w:trPr>
          <w:trHeight w:val="315"/>
          <w:jc w:val="center"/>
        </w:trPr>
        <w:tc>
          <w:tcPr>
            <w:tcW w:w="2500" w:type="dxa"/>
            <w:tcBorders>
              <w:top w:val="nil"/>
              <w:left w:val="single" w:sz="8" w:space="0" w:color="000000"/>
              <w:bottom w:val="single" w:sz="8" w:space="0" w:color="000000"/>
              <w:right w:val="single" w:sz="8" w:space="0" w:color="000000"/>
            </w:tcBorders>
            <w:shd w:val="clear" w:color="auto" w:fill="auto"/>
            <w:vAlign w:val="center"/>
          </w:tcPr>
          <w:p w14:paraId="1FEF418A" w14:textId="77777777" w:rsidR="0031121E" w:rsidRPr="00D654F7" w:rsidRDefault="00B9221C" w:rsidP="001779AD">
            <w:pPr>
              <w:spacing w:after="0" w:line="240" w:lineRule="auto"/>
              <w:rPr>
                <w:rFonts w:ascii="Book Antiqua" w:hAnsi="Book Antiqua" w:cs="Times New Roman"/>
                <w:b/>
                <w:bCs/>
                <w:color w:val="000000"/>
                <w:sz w:val="24"/>
                <w:szCs w:val="24"/>
              </w:rPr>
            </w:pPr>
            <w:r w:rsidRPr="00D654F7">
              <w:rPr>
                <w:rFonts w:ascii="Book Antiqua" w:hAnsi="Book Antiqua" w:cs="Times New Roman"/>
                <w:b/>
                <w:bCs/>
                <w:color w:val="000000"/>
                <w:sz w:val="24"/>
                <w:szCs w:val="24"/>
              </w:rPr>
              <w:t>Meaning of Work (M)</w:t>
            </w:r>
          </w:p>
        </w:tc>
        <w:tc>
          <w:tcPr>
            <w:tcW w:w="1500" w:type="dxa"/>
            <w:tcBorders>
              <w:top w:val="nil"/>
              <w:left w:val="nil"/>
              <w:bottom w:val="single" w:sz="8" w:space="0" w:color="000000"/>
              <w:right w:val="single" w:sz="8" w:space="0" w:color="000000"/>
            </w:tcBorders>
            <w:shd w:val="clear" w:color="auto" w:fill="auto"/>
            <w:vAlign w:val="center"/>
          </w:tcPr>
          <w:p w14:paraId="38B20368" w14:textId="77777777" w:rsidR="0031121E" w:rsidRPr="00D654F7" w:rsidRDefault="00B9221C" w:rsidP="001779AD">
            <w:pPr>
              <w:spacing w:after="0" w:line="240" w:lineRule="auto"/>
              <w:jc w:val="right"/>
              <w:rPr>
                <w:rFonts w:ascii="Book Antiqua" w:hAnsi="Book Antiqua" w:cs="Times New Roman"/>
                <w:color w:val="000000"/>
                <w:sz w:val="24"/>
                <w:szCs w:val="24"/>
              </w:rPr>
            </w:pPr>
            <w:r w:rsidRPr="00D654F7">
              <w:rPr>
                <w:rFonts w:ascii="Book Antiqua" w:hAnsi="Book Antiqua" w:cs="Times New Roman"/>
                <w:color w:val="000000"/>
                <w:sz w:val="24"/>
                <w:szCs w:val="24"/>
              </w:rPr>
              <w:t>0.433</w:t>
            </w:r>
          </w:p>
        </w:tc>
        <w:tc>
          <w:tcPr>
            <w:tcW w:w="1660" w:type="dxa"/>
            <w:tcBorders>
              <w:top w:val="nil"/>
              <w:left w:val="nil"/>
              <w:bottom w:val="single" w:sz="8" w:space="0" w:color="000000"/>
              <w:right w:val="single" w:sz="8" w:space="0" w:color="000000"/>
            </w:tcBorders>
            <w:shd w:val="clear" w:color="auto" w:fill="auto"/>
            <w:vAlign w:val="center"/>
          </w:tcPr>
          <w:p w14:paraId="20397012" w14:textId="77777777" w:rsidR="0031121E" w:rsidRPr="00D654F7" w:rsidRDefault="00B9221C" w:rsidP="001779AD">
            <w:pPr>
              <w:spacing w:after="0" w:line="240" w:lineRule="auto"/>
              <w:jc w:val="right"/>
              <w:rPr>
                <w:rFonts w:ascii="Book Antiqua" w:hAnsi="Book Antiqua" w:cs="Times New Roman"/>
                <w:color w:val="000000"/>
                <w:sz w:val="24"/>
                <w:szCs w:val="24"/>
              </w:rPr>
            </w:pPr>
            <w:r w:rsidRPr="00D654F7">
              <w:rPr>
                <w:rFonts w:ascii="Book Antiqua" w:hAnsi="Book Antiqua" w:cs="Times New Roman"/>
                <w:color w:val="000000"/>
                <w:sz w:val="24"/>
                <w:szCs w:val="24"/>
              </w:rPr>
              <w:t>0.425</w:t>
            </w:r>
          </w:p>
        </w:tc>
      </w:tr>
      <w:tr w:rsidR="0031121E" w:rsidRPr="00D654F7" w14:paraId="30528F50" w14:textId="77777777">
        <w:trPr>
          <w:trHeight w:val="315"/>
          <w:jc w:val="center"/>
        </w:trPr>
        <w:tc>
          <w:tcPr>
            <w:tcW w:w="2500" w:type="dxa"/>
            <w:tcBorders>
              <w:top w:val="nil"/>
              <w:left w:val="single" w:sz="8" w:space="0" w:color="000000"/>
              <w:bottom w:val="single" w:sz="8" w:space="0" w:color="000000"/>
              <w:right w:val="single" w:sz="8" w:space="0" w:color="000000"/>
            </w:tcBorders>
            <w:shd w:val="clear" w:color="auto" w:fill="auto"/>
            <w:vAlign w:val="center"/>
          </w:tcPr>
          <w:p w14:paraId="7E39219F" w14:textId="77777777" w:rsidR="0031121E" w:rsidRPr="00D654F7" w:rsidRDefault="00B9221C" w:rsidP="001779AD">
            <w:pPr>
              <w:spacing w:after="0" w:line="240" w:lineRule="auto"/>
              <w:rPr>
                <w:rFonts w:ascii="Book Antiqua" w:hAnsi="Book Antiqua" w:cs="Times New Roman"/>
                <w:b/>
                <w:bCs/>
                <w:color w:val="000000"/>
                <w:sz w:val="24"/>
                <w:szCs w:val="24"/>
              </w:rPr>
            </w:pPr>
            <w:r w:rsidRPr="00D654F7">
              <w:rPr>
                <w:rFonts w:ascii="Book Antiqua" w:hAnsi="Book Antiqua" w:cs="Times New Roman"/>
                <w:b/>
                <w:bCs/>
                <w:color w:val="000000"/>
                <w:sz w:val="24"/>
                <w:szCs w:val="24"/>
              </w:rPr>
              <w:t>Employee Retention (Y)</w:t>
            </w:r>
          </w:p>
        </w:tc>
        <w:tc>
          <w:tcPr>
            <w:tcW w:w="1500" w:type="dxa"/>
            <w:tcBorders>
              <w:top w:val="nil"/>
              <w:left w:val="nil"/>
              <w:bottom w:val="single" w:sz="8" w:space="0" w:color="000000"/>
              <w:right w:val="single" w:sz="8" w:space="0" w:color="000000"/>
            </w:tcBorders>
            <w:shd w:val="clear" w:color="auto" w:fill="auto"/>
            <w:vAlign w:val="center"/>
          </w:tcPr>
          <w:p w14:paraId="70CBC7AC" w14:textId="77777777" w:rsidR="0031121E" w:rsidRPr="00D654F7" w:rsidRDefault="00B9221C" w:rsidP="001779AD">
            <w:pPr>
              <w:spacing w:after="0" w:line="240" w:lineRule="auto"/>
              <w:jc w:val="right"/>
              <w:rPr>
                <w:rFonts w:ascii="Book Antiqua" w:hAnsi="Book Antiqua" w:cs="Times New Roman"/>
                <w:color w:val="000000"/>
                <w:sz w:val="24"/>
                <w:szCs w:val="24"/>
              </w:rPr>
            </w:pPr>
            <w:r w:rsidRPr="00D654F7">
              <w:rPr>
                <w:rFonts w:ascii="Book Antiqua" w:hAnsi="Book Antiqua" w:cs="Times New Roman"/>
                <w:color w:val="000000"/>
                <w:sz w:val="24"/>
                <w:szCs w:val="24"/>
              </w:rPr>
              <w:t>0.662</w:t>
            </w:r>
          </w:p>
        </w:tc>
        <w:tc>
          <w:tcPr>
            <w:tcW w:w="1660" w:type="dxa"/>
            <w:tcBorders>
              <w:top w:val="nil"/>
              <w:left w:val="nil"/>
              <w:bottom w:val="single" w:sz="8" w:space="0" w:color="000000"/>
              <w:right w:val="single" w:sz="8" w:space="0" w:color="000000"/>
            </w:tcBorders>
            <w:shd w:val="clear" w:color="auto" w:fill="auto"/>
            <w:vAlign w:val="center"/>
          </w:tcPr>
          <w:p w14:paraId="54B7F583" w14:textId="77777777" w:rsidR="0031121E" w:rsidRPr="00D654F7" w:rsidRDefault="00B9221C" w:rsidP="001779AD">
            <w:pPr>
              <w:spacing w:after="0" w:line="240" w:lineRule="auto"/>
              <w:jc w:val="right"/>
              <w:rPr>
                <w:rFonts w:ascii="Book Antiqua" w:hAnsi="Book Antiqua" w:cs="Times New Roman"/>
                <w:color w:val="000000"/>
                <w:sz w:val="24"/>
                <w:szCs w:val="24"/>
              </w:rPr>
            </w:pPr>
            <w:r w:rsidRPr="00D654F7">
              <w:rPr>
                <w:rFonts w:ascii="Book Antiqua" w:hAnsi="Book Antiqua" w:cs="Times New Roman"/>
                <w:color w:val="000000"/>
                <w:sz w:val="24"/>
                <w:szCs w:val="24"/>
              </w:rPr>
              <w:t>0.655</w:t>
            </w:r>
          </w:p>
        </w:tc>
      </w:tr>
    </w:tbl>
    <w:p w14:paraId="6A50B90A" w14:textId="77777777" w:rsidR="0031121E" w:rsidRPr="00D654F7" w:rsidRDefault="00B9221C" w:rsidP="001779AD">
      <w:pPr>
        <w:spacing w:after="0" w:line="240" w:lineRule="auto"/>
        <w:ind w:left="426"/>
        <w:jc w:val="center"/>
        <w:rPr>
          <w:rFonts w:ascii="Book Antiqua" w:eastAsia="Times New Roman" w:hAnsi="Book Antiqua" w:cs="Times New Roman"/>
          <w:sz w:val="24"/>
          <w:szCs w:val="24"/>
        </w:rPr>
      </w:pPr>
      <w:r w:rsidRPr="00D654F7">
        <w:rPr>
          <w:rFonts w:ascii="Book Antiqua" w:eastAsia="Times New Roman" w:hAnsi="Book Antiqua" w:cs="Times New Roman"/>
          <w:sz w:val="24"/>
          <w:szCs w:val="24"/>
        </w:rPr>
        <w:t>Source: Processed data, 2025</w:t>
      </w:r>
    </w:p>
    <w:p w14:paraId="35D7B1B0" w14:textId="77777777" w:rsidR="00045B62" w:rsidRPr="00D654F7" w:rsidRDefault="00045B62" w:rsidP="00D52B6B">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Based on the information presented in the table, the Meaning of Work construct has an R-square value of 0.433 and an Adjusted R-square of 0.425. This indicates that the Employee Engagement and Perceived Usefulness variables are able to explain approximately 43.3% of the variation in Meaning of Work. The relatively small difference between the R-square and Adjusted R-square values ​​indicates that the model used is quite stable and does not show any indication of overfitting.</w:t>
      </w:r>
    </w:p>
    <w:p w14:paraId="2EC88CD9" w14:textId="77777777" w:rsidR="0031121E" w:rsidRPr="00D654F7" w:rsidRDefault="00045B62" w:rsidP="00D52B6B">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Furthermore, the Employee Retention construct showed an R-Square value of 0.662 with an Adjusted R-Square of 0.655. This finding indicates that 66.2% of the variation in Employee Retention can be explained by the variables Employee Engagement, Perceived Usefulness, and Meaning of Work. These values ​​reflect the model's strong predictive ability because the proportion of explained variance is relatively high. Similar to the previous construct, the small difference between the R-Square and Adjusted R-Square values ​​indicates that the model is not too complex and has a good level of generalization.</w:t>
      </w:r>
    </w:p>
    <w:p w14:paraId="5ED0277D" w14:textId="77777777" w:rsidR="0031121E" w:rsidRPr="00D654F7" w:rsidRDefault="0031121E" w:rsidP="00D52B6B">
      <w:pPr>
        <w:spacing w:after="0" w:line="240" w:lineRule="auto"/>
        <w:ind w:firstLine="567"/>
        <w:jc w:val="both"/>
        <w:rPr>
          <w:rFonts w:ascii="Book Antiqua" w:eastAsia="Times New Roman" w:hAnsi="Book Antiqua" w:cs="Times New Roman"/>
          <w:sz w:val="24"/>
          <w:szCs w:val="24"/>
        </w:rPr>
      </w:pPr>
    </w:p>
    <w:p w14:paraId="7287CB43" w14:textId="77777777" w:rsidR="0031121E" w:rsidRPr="00D654F7" w:rsidRDefault="00B9221C" w:rsidP="00D52B6B">
      <w:pPr>
        <w:numPr>
          <w:ilvl w:val="0"/>
          <w:numId w:val="5"/>
        </w:numPr>
        <w:pBdr>
          <w:top w:val="nil"/>
          <w:left w:val="nil"/>
          <w:bottom w:val="nil"/>
          <w:right w:val="nil"/>
          <w:between w:val="nil"/>
        </w:pBdr>
        <w:spacing w:after="0" w:line="240" w:lineRule="auto"/>
        <w:ind w:left="357" w:hanging="357"/>
        <w:jc w:val="both"/>
        <w:rPr>
          <w:rFonts w:ascii="Book Antiqua" w:eastAsia="Times New Roman" w:hAnsi="Book Antiqua" w:cs="Times New Roman"/>
          <w:b/>
          <w:bCs/>
          <w:i/>
          <w:iCs/>
          <w:color w:val="000000"/>
          <w:sz w:val="24"/>
          <w:szCs w:val="24"/>
        </w:rPr>
      </w:pPr>
      <w:r w:rsidRPr="00D654F7">
        <w:rPr>
          <w:rFonts w:ascii="Book Antiqua" w:eastAsia="Times New Roman" w:hAnsi="Book Antiqua" w:cs="Times New Roman"/>
          <w:b/>
          <w:bCs/>
          <w:color w:val="000000"/>
          <w:sz w:val="24"/>
          <w:szCs w:val="24"/>
        </w:rPr>
        <w:t>Effect Size Value</w:t>
      </w:r>
    </w:p>
    <w:p w14:paraId="5E8DB5E9" w14:textId="77777777" w:rsidR="0031121E" w:rsidRPr="00D654F7" w:rsidRDefault="00045B62" w:rsidP="00D52B6B">
      <w:pPr>
        <w:spacing w:after="0" w:line="240" w:lineRule="auto"/>
        <w:ind w:firstLine="567"/>
        <w:jc w:val="both"/>
        <w:rPr>
          <w:rFonts w:ascii="Book Antiqua" w:eastAsia="Times New Roman" w:hAnsi="Book Antiqua" w:cs="Times New Roman"/>
          <w:sz w:val="24"/>
          <w:szCs w:val="24"/>
        </w:rPr>
      </w:pPr>
      <w:bookmarkStart w:id="20" w:name="_heading=h.bof68r68r90u" w:colFirst="0" w:colLast="0"/>
      <w:bookmarkEnd w:id="20"/>
      <w:r w:rsidRPr="00D654F7">
        <w:rPr>
          <w:rFonts w:ascii="Book Antiqua" w:eastAsia="Times New Roman" w:hAnsi="Book Antiqua" w:cs="Times New Roman"/>
          <w:sz w:val="24"/>
          <w:szCs w:val="24"/>
        </w:rPr>
        <w:t>The next step in evaluating a model's explanatory power is through effect size (f²) analysis. This analysis aims to determine the extent to which each independent variable contributes to the dependent variable in a structural model. Hair et al. (2022) stated that an f² value of 0.02 indicates a small effect, a value of 0.15 represents a moderate effect, and a value of 0.35 reflects a large effect. These criteria are used as guidelines in assessing the strength of each relationship between constructs. The results of the f² calculation for each construct are presented in the following table.</w:t>
      </w:r>
    </w:p>
    <w:p w14:paraId="7D888D1F" w14:textId="77777777" w:rsidR="00B765D1" w:rsidRDefault="00B765D1" w:rsidP="00741BC3">
      <w:pPr>
        <w:spacing w:after="0" w:line="240" w:lineRule="auto"/>
        <w:jc w:val="center"/>
        <w:rPr>
          <w:rFonts w:ascii="Book Antiqua" w:eastAsia="Times New Roman" w:hAnsi="Book Antiqua" w:cs="Times New Roman"/>
          <w:b/>
          <w:bCs/>
          <w:sz w:val="24"/>
          <w:szCs w:val="24"/>
        </w:rPr>
      </w:pPr>
      <w:bookmarkStart w:id="21" w:name="_heading=h.6sidwdnuef4i" w:colFirst="0" w:colLast="0"/>
      <w:bookmarkEnd w:id="21"/>
    </w:p>
    <w:p w14:paraId="7A9AEA86" w14:textId="77777777" w:rsidR="0031121E" w:rsidRPr="00D654F7" w:rsidRDefault="00B9221C" w:rsidP="00741BC3">
      <w:pPr>
        <w:spacing w:after="0" w:line="240" w:lineRule="auto"/>
        <w:jc w:val="center"/>
        <w:rPr>
          <w:rFonts w:ascii="Book Antiqua" w:eastAsia="Times New Roman" w:hAnsi="Book Antiqua" w:cs="Times New Roman"/>
          <w:b/>
          <w:bCs/>
          <w:sz w:val="24"/>
          <w:szCs w:val="24"/>
        </w:rPr>
      </w:pPr>
      <w:r w:rsidRPr="00D654F7">
        <w:rPr>
          <w:rFonts w:ascii="Book Antiqua" w:eastAsia="Times New Roman" w:hAnsi="Book Antiqua" w:cs="Times New Roman"/>
          <w:b/>
          <w:bCs/>
          <w:sz w:val="24"/>
          <w:szCs w:val="24"/>
        </w:rPr>
        <w:t>Table 15. Effect Size or f²</w:t>
      </w:r>
    </w:p>
    <w:tbl>
      <w:tblPr>
        <w:tblStyle w:val="ad"/>
        <w:tblW w:w="0" w:type="auto"/>
        <w:jc w:val="center"/>
        <w:tblLook w:val="0400" w:firstRow="0" w:lastRow="0" w:firstColumn="0" w:lastColumn="0" w:noHBand="0" w:noVBand="1"/>
      </w:tblPr>
      <w:tblGrid>
        <w:gridCol w:w="2529"/>
        <w:gridCol w:w="1559"/>
        <w:gridCol w:w="1843"/>
      </w:tblGrid>
      <w:tr w:rsidR="0031121E" w:rsidRPr="00D654F7" w14:paraId="5413AB26" w14:textId="77777777" w:rsidTr="00387117">
        <w:trPr>
          <w:trHeight w:val="615"/>
          <w:jc w:val="center"/>
        </w:trPr>
        <w:tc>
          <w:tcPr>
            <w:tcW w:w="2529"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4241815" w14:textId="77777777" w:rsidR="0031121E" w:rsidRPr="00D654F7" w:rsidRDefault="0031121E" w:rsidP="001779AD">
            <w:pPr>
              <w:spacing w:after="0" w:line="240" w:lineRule="auto"/>
              <w:rPr>
                <w:rFonts w:ascii="Book Antiqua" w:eastAsia="Times New Roman" w:hAnsi="Book Antiqua" w:cs="Times New Roman"/>
                <w:b/>
                <w:bCs/>
                <w:color w:val="000000"/>
                <w:sz w:val="24"/>
                <w:szCs w:val="24"/>
              </w:rPr>
            </w:pPr>
          </w:p>
        </w:tc>
        <w:tc>
          <w:tcPr>
            <w:tcW w:w="1559" w:type="dxa"/>
            <w:tcBorders>
              <w:top w:val="single" w:sz="8" w:space="0" w:color="000000"/>
              <w:left w:val="nil"/>
              <w:bottom w:val="single" w:sz="8" w:space="0" w:color="000000"/>
              <w:right w:val="single" w:sz="8" w:space="0" w:color="000000"/>
            </w:tcBorders>
            <w:shd w:val="clear" w:color="auto" w:fill="auto"/>
            <w:vAlign w:val="center"/>
          </w:tcPr>
          <w:p w14:paraId="17BCABC8" w14:textId="77777777" w:rsidR="0031121E" w:rsidRPr="00D654F7" w:rsidRDefault="00B9221C" w:rsidP="001779AD">
            <w:pPr>
              <w:spacing w:after="0" w:line="240" w:lineRule="auto"/>
              <w:jc w:val="right"/>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Meaning of Work (M)</w:t>
            </w:r>
          </w:p>
        </w:tc>
        <w:tc>
          <w:tcPr>
            <w:tcW w:w="1843" w:type="dxa"/>
            <w:tcBorders>
              <w:top w:val="single" w:sz="8" w:space="0" w:color="000000"/>
              <w:left w:val="nil"/>
              <w:bottom w:val="single" w:sz="8" w:space="0" w:color="000000"/>
              <w:right w:val="single" w:sz="8" w:space="0" w:color="000000"/>
            </w:tcBorders>
            <w:shd w:val="clear" w:color="auto" w:fill="auto"/>
            <w:vAlign w:val="center"/>
          </w:tcPr>
          <w:p w14:paraId="3C16DC71" w14:textId="77777777" w:rsidR="0031121E" w:rsidRPr="00D654F7" w:rsidRDefault="00B9221C" w:rsidP="00387117">
            <w:pPr>
              <w:spacing w:after="0" w:line="240" w:lineRule="auto"/>
              <w:jc w:val="center"/>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Employee Retention (Y)</w:t>
            </w:r>
          </w:p>
        </w:tc>
      </w:tr>
      <w:tr w:rsidR="0031121E" w:rsidRPr="00D654F7" w14:paraId="43055ADF" w14:textId="77777777" w:rsidTr="00387117">
        <w:trPr>
          <w:trHeight w:val="615"/>
          <w:jc w:val="center"/>
        </w:trPr>
        <w:tc>
          <w:tcPr>
            <w:tcW w:w="2529" w:type="dxa"/>
            <w:tcBorders>
              <w:top w:val="nil"/>
              <w:left w:val="single" w:sz="8" w:space="0" w:color="000000"/>
              <w:bottom w:val="single" w:sz="8" w:space="0" w:color="000000"/>
              <w:right w:val="single" w:sz="8" w:space="0" w:color="000000"/>
            </w:tcBorders>
            <w:shd w:val="clear" w:color="auto" w:fill="auto"/>
            <w:vAlign w:val="center"/>
          </w:tcPr>
          <w:p w14:paraId="1199B151"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Employee Engagement (X1)</w:t>
            </w:r>
          </w:p>
        </w:tc>
        <w:tc>
          <w:tcPr>
            <w:tcW w:w="1559" w:type="dxa"/>
            <w:tcBorders>
              <w:top w:val="nil"/>
              <w:left w:val="nil"/>
              <w:bottom w:val="single" w:sz="8" w:space="0" w:color="000000"/>
              <w:right w:val="single" w:sz="8" w:space="0" w:color="000000"/>
            </w:tcBorders>
            <w:shd w:val="clear" w:color="auto" w:fill="auto"/>
            <w:vAlign w:val="center"/>
          </w:tcPr>
          <w:p w14:paraId="5034221A"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0.195</w:t>
            </w:r>
          </w:p>
        </w:tc>
        <w:tc>
          <w:tcPr>
            <w:tcW w:w="1843" w:type="dxa"/>
            <w:tcBorders>
              <w:top w:val="nil"/>
              <w:left w:val="nil"/>
              <w:bottom w:val="single" w:sz="8" w:space="0" w:color="000000"/>
              <w:right w:val="single" w:sz="8" w:space="0" w:color="000000"/>
            </w:tcBorders>
            <w:shd w:val="clear" w:color="auto" w:fill="auto"/>
            <w:vAlign w:val="center"/>
          </w:tcPr>
          <w:p w14:paraId="7B0D29B1"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0.195</w:t>
            </w:r>
          </w:p>
        </w:tc>
      </w:tr>
      <w:tr w:rsidR="0031121E" w:rsidRPr="00D654F7" w14:paraId="1273864E" w14:textId="77777777" w:rsidTr="00387117">
        <w:trPr>
          <w:trHeight w:val="315"/>
          <w:jc w:val="center"/>
        </w:trPr>
        <w:tc>
          <w:tcPr>
            <w:tcW w:w="2529" w:type="dxa"/>
            <w:tcBorders>
              <w:top w:val="nil"/>
              <w:left w:val="single" w:sz="8" w:space="0" w:color="000000"/>
              <w:bottom w:val="single" w:sz="8" w:space="0" w:color="000000"/>
              <w:right w:val="single" w:sz="8" w:space="0" w:color="000000"/>
            </w:tcBorders>
            <w:shd w:val="clear" w:color="auto" w:fill="auto"/>
            <w:vAlign w:val="center"/>
          </w:tcPr>
          <w:p w14:paraId="3F7BE252"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Meaning of Work (M)</w:t>
            </w:r>
          </w:p>
        </w:tc>
        <w:tc>
          <w:tcPr>
            <w:tcW w:w="1559" w:type="dxa"/>
            <w:tcBorders>
              <w:top w:val="nil"/>
              <w:left w:val="nil"/>
              <w:bottom w:val="single" w:sz="8" w:space="0" w:color="000000"/>
              <w:right w:val="single" w:sz="8" w:space="0" w:color="000000"/>
            </w:tcBorders>
            <w:shd w:val="clear" w:color="auto" w:fill="auto"/>
            <w:vAlign w:val="center"/>
          </w:tcPr>
          <w:p w14:paraId="0EA63E4E" w14:textId="77777777" w:rsidR="0031121E" w:rsidRPr="00D654F7" w:rsidRDefault="0031121E" w:rsidP="001779AD">
            <w:pPr>
              <w:spacing w:after="0" w:line="240" w:lineRule="auto"/>
              <w:jc w:val="right"/>
              <w:rPr>
                <w:rFonts w:ascii="Book Antiqua" w:eastAsia="Times New Roman" w:hAnsi="Book Antiqua" w:cs="Times New Roman"/>
                <w:color w:val="000000"/>
                <w:sz w:val="24"/>
                <w:szCs w:val="24"/>
              </w:rPr>
            </w:pPr>
          </w:p>
        </w:tc>
        <w:tc>
          <w:tcPr>
            <w:tcW w:w="1843" w:type="dxa"/>
            <w:tcBorders>
              <w:top w:val="nil"/>
              <w:left w:val="nil"/>
              <w:bottom w:val="single" w:sz="8" w:space="0" w:color="000000"/>
              <w:right w:val="single" w:sz="8" w:space="0" w:color="000000"/>
            </w:tcBorders>
            <w:shd w:val="clear" w:color="auto" w:fill="auto"/>
            <w:vAlign w:val="center"/>
          </w:tcPr>
          <w:p w14:paraId="1AB0FA00"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0.144</w:t>
            </w:r>
          </w:p>
        </w:tc>
      </w:tr>
      <w:tr w:rsidR="0031121E" w:rsidRPr="00D654F7" w14:paraId="50819E5C" w14:textId="77777777" w:rsidTr="00387117">
        <w:trPr>
          <w:trHeight w:val="615"/>
          <w:jc w:val="center"/>
        </w:trPr>
        <w:tc>
          <w:tcPr>
            <w:tcW w:w="2529" w:type="dxa"/>
            <w:tcBorders>
              <w:top w:val="nil"/>
              <w:left w:val="single" w:sz="8" w:space="0" w:color="000000"/>
              <w:bottom w:val="single" w:sz="8" w:space="0" w:color="000000"/>
              <w:right w:val="single" w:sz="8" w:space="0" w:color="000000"/>
            </w:tcBorders>
            <w:shd w:val="clear" w:color="auto" w:fill="auto"/>
            <w:vAlign w:val="center"/>
          </w:tcPr>
          <w:p w14:paraId="74F40991"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Perceived Usefulness (X2)</w:t>
            </w:r>
          </w:p>
        </w:tc>
        <w:tc>
          <w:tcPr>
            <w:tcW w:w="1559" w:type="dxa"/>
            <w:tcBorders>
              <w:top w:val="nil"/>
              <w:left w:val="nil"/>
              <w:bottom w:val="single" w:sz="8" w:space="0" w:color="000000"/>
              <w:right w:val="single" w:sz="8" w:space="0" w:color="000000"/>
            </w:tcBorders>
            <w:shd w:val="clear" w:color="auto" w:fill="auto"/>
            <w:vAlign w:val="center"/>
          </w:tcPr>
          <w:p w14:paraId="511FF876"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0.236</w:t>
            </w:r>
          </w:p>
        </w:tc>
        <w:tc>
          <w:tcPr>
            <w:tcW w:w="1843" w:type="dxa"/>
            <w:tcBorders>
              <w:top w:val="nil"/>
              <w:left w:val="nil"/>
              <w:bottom w:val="single" w:sz="8" w:space="0" w:color="000000"/>
              <w:right w:val="single" w:sz="8" w:space="0" w:color="000000"/>
            </w:tcBorders>
            <w:shd w:val="clear" w:color="auto" w:fill="auto"/>
            <w:vAlign w:val="center"/>
          </w:tcPr>
          <w:p w14:paraId="528B9936" w14:textId="77777777" w:rsidR="0031121E" w:rsidRPr="00D654F7" w:rsidRDefault="00B9221C" w:rsidP="001779AD">
            <w:pPr>
              <w:spacing w:after="0" w:line="240" w:lineRule="auto"/>
              <w:jc w:val="right"/>
              <w:rPr>
                <w:rFonts w:ascii="Book Antiqua" w:eastAsia="Times New Roman" w:hAnsi="Book Antiqua" w:cs="Times New Roman"/>
                <w:color w:val="006400"/>
                <w:sz w:val="24"/>
                <w:szCs w:val="24"/>
              </w:rPr>
            </w:pPr>
            <w:r w:rsidRPr="00D654F7">
              <w:rPr>
                <w:rFonts w:ascii="Book Antiqua" w:eastAsia="Times New Roman" w:hAnsi="Book Antiqua" w:cs="Times New Roman"/>
                <w:color w:val="006400"/>
                <w:sz w:val="24"/>
                <w:szCs w:val="24"/>
              </w:rPr>
              <w:t>0.285</w:t>
            </w:r>
          </w:p>
        </w:tc>
      </w:tr>
    </w:tbl>
    <w:p w14:paraId="17A4FEEC" w14:textId="77777777" w:rsidR="0031121E" w:rsidRPr="00D654F7" w:rsidRDefault="00B9221C" w:rsidP="001779AD">
      <w:pPr>
        <w:spacing w:after="0" w:line="240" w:lineRule="auto"/>
        <w:ind w:left="426"/>
        <w:jc w:val="center"/>
        <w:rPr>
          <w:rFonts w:ascii="Book Antiqua" w:eastAsia="Times New Roman" w:hAnsi="Book Antiqua" w:cs="Times New Roman"/>
          <w:sz w:val="24"/>
          <w:szCs w:val="24"/>
        </w:rPr>
      </w:pPr>
      <w:r w:rsidRPr="00D654F7">
        <w:rPr>
          <w:rFonts w:ascii="Book Antiqua" w:eastAsia="Times New Roman" w:hAnsi="Book Antiqua" w:cs="Times New Roman"/>
          <w:sz w:val="24"/>
          <w:szCs w:val="24"/>
        </w:rPr>
        <w:t>Source: Processed data, 2025</w:t>
      </w:r>
    </w:p>
    <w:p w14:paraId="2FD472DC" w14:textId="77777777" w:rsidR="00045B62" w:rsidRPr="00D654F7" w:rsidRDefault="00045B62" w:rsidP="00387117">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The analysis results show that Perceived Usefulness has the greatest influence on Work Meaning, with an effect size of 0.236, which falls into the medium influence category. Meanwhile, Employee Engagement contributes with an f² value of 0.195, which falls within the small to medium influence range.</w:t>
      </w:r>
    </w:p>
    <w:p w14:paraId="04473492" w14:textId="77777777" w:rsidR="00045B62" w:rsidRPr="00D654F7" w:rsidRDefault="00045B62" w:rsidP="00387117">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In the Employee Retention variable, Perceived Usefulness is again the factor with the most dominant influence, indicated by an effect size value of 0.285 and categorized as a medium influence. Furthermore, Employee Engagement has an f² value of 0.195 which is classified as small to medium, while Meaning of Work shows a lower influence with an f² value of 0.144 and is included in the small category. These findings indicate that the most effective strategy in increasing employee retention is to strengthen the perception of the program's usefulness, which is further supported by increased employee engagement and strengthening the perceived meaning of work.</w:t>
      </w:r>
    </w:p>
    <w:p w14:paraId="3AB885ED" w14:textId="77777777" w:rsidR="0031121E" w:rsidRPr="00D654F7" w:rsidRDefault="0031121E" w:rsidP="001779AD">
      <w:pPr>
        <w:spacing w:after="0" w:line="240" w:lineRule="auto"/>
        <w:rPr>
          <w:rFonts w:ascii="Book Antiqua" w:eastAsia="Times New Roman" w:hAnsi="Book Antiqua" w:cs="Times New Roman"/>
          <w:sz w:val="24"/>
          <w:szCs w:val="24"/>
        </w:rPr>
      </w:pPr>
    </w:p>
    <w:p w14:paraId="53F6BA7A" w14:textId="77777777" w:rsidR="0031121E" w:rsidRPr="00D654F7" w:rsidRDefault="00B9221C" w:rsidP="00387117">
      <w:pPr>
        <w:numPr>
          <w:ilvl w:val="0"/>
          <w:numId w:val="5"/>
        </w:numPr>
        <w:pBdr>
          <w:top w:val="nil"/>
          <w:left w:val="nil"/>
          <w:bottom w:val="nil"/>
          <w:right w:val="nil"/>
          <w:between w:val="nil"/>
        </w:pBdr>
        <w:spacing w:after="0" w:line="240" w:lineRule="auto"/>
        <w:ind w:left="357" w:hanging="357"/>
        <w:jc w:val="both"/>
        <w:rPr>
          <w:rFonts w:ascii="Book Antiqua" w:eastAsia="Times New Roman" w:hAnsi="Book Antiqua" w:cs="Times New Roman"/>
          <w:b/>
          <w:bCs/>
          <w:i/>
          <w:iCs/>
          <w:color w:val="000000"/>
          <w:sz w:val="24"/>
          <w:szCs w:val="24"/>
        </w:rPr>
      </w:pPr>
      <w:r w:rsidRPr="00D654F7">
        <w:rPr>
          <w:rFonts w:ascii="Book Antiqua" w:eastAsia="Times New Roman" w:hAnsi="Book Antiqua" w:cs="Times New Roman"/>
          <w:b/>
          <w:bCs/>
          <w:color w:val="000000"/>
          <w:sz w:val="24"/>
          <w:szCs w:val="24"/>
        </w:rPr>
        <w:t>Q²predict value</w:t>
      </w:r>
    </w:p>
    <w:p w14:paraId="3B5CAAF2" w14:textId="77777777" w:rsidR="00045B62" w:rsidRPr="00D654F7" w:rsidRDefault="00045B62" w:rsidP="00387117">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MAE (Mean Absolute Error) and RMSE (Root Mean Square Error) are metrics used to assess the predictive accuracy of a model, with lower values ​​indicating better predictive ability. However, both metrics are influenced by the scale of the dependent variable, so their interpretation cannot be absolute without considering the context of the data used. To address these limitations, Shmueli et al. (2019) recommend using Q²predict as an alternative in evaluating a model's predictive ability.</w:t>
      </w:r>
    </w:p>
    <w:p w14:paraId="6D16CA79" w14:textId="77777777" w:rsidR="0031121E" w:rsidRPr="00D654F7" w:rsidRDefault="00045B62" w:rsidP="00387117">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i/>
          <w:iCs/>
          <w:sz w:val="24"/>
          <w:szCs w:val="24"/>
        </w:rPr>
        <w:t>Q²predict</w:t>
      </w:r>
      <w:r w:rsidRPr="00D654F7">
        <w:rPr>
          <w:rFonts w:ascii="Book Antiqua" w:eastAsia="Times New Roman" w:hAnsi="Book Antiqua" w:cs="Times New Roman"/>
          <w:sz w:val="24"/>
          <w:szCs w:val="24"/>
        </w:rPr>
        <w:t>Q²predict is a measure that compares the level of prediction accuracy of the PLS model with a simple comparison model (naïve model) that only relies on the average value of the training data. The Q²predict value is obtained by subtracting one from the division between the sum of the squares of the prediction errors of the PLS model and the sum of the squares of the prediction errors of the naïve model. If the Q²predict value is positive, it indicates that the PLS model has better predictive ability than the average-based approach, thus indicating the presence of predictive relevance in the model being tested.</w:t>
      </w:r>
    </w:p>
    <w:p w14:paraId="1E626584" w14:textId="77777777" w:rsidR="0031121E" w:rsidRPr="00D654F7" w:rsidRDefault="00B9221C" w:rsidP="00387117">
      <w:pPr>
        <w:spacing w:after="0" w:line="240" w:lineRule="auto"/>
        <w:jc w:val="center"/>
        <w:rPr>
          <w:rFonts w:ascii="Book Antiqua" w:eastAsia="Times New Roman" w:hAnsi="Book Antiqua" w:cs="Times New Roman"/>
          <w:sz w:val="24"/>
          <w:szCs w:val="24"/>
        </w:rPr>
      </w:pPr>
      <w:bookmarkStart w:id="22" w:name="_heading=h.eu14f2ugg155" w:colFirst="0" w:colLast="0"/>
      <w:bookmarkEnd w:id="22"/>
      <w:r w:rsidRPr="00D654F7">
        <w:rPr>
          <w:rFonts w:ascii="Book Antiqua" w:eastAsia="Times New Roman" w:hAnsi="Book Antiqua" w:cs="Times New Roman"/>
          <w:b/>
          <w:bCs/>
          <w:sz w:val="24"/>
          <w:szCs w:val="24"/>
        </w:rPr>
        <w:t>Table 16. Q²predict</w:t>
      </w:r>
    </w:p>
    <w:tbl>
      <w:tblPr>
        <w:tblStyle w:val="ae"/>
        <w:tblW w:w="5228" w:type="dxa"/>
        <w:jc w:val="center"/>
        <w:tblLayout w:type="fixed"/>
        <w:tblLook w:val="0400" w:firstRow="0" w:lastRow="0" w:firstColumn="0" w:lastColumn="0" w:noHBand="0" w:noVBand="1"/>
      </w:tblPr>
      <w:tblGrid>
        <w:gridCol w:w="2100"/>
        <w:gridCol w:w="1292"/>
        <w:gridCol w:w="993"/>
        <w:gridCol w:w="843"/>
      </w:tblGrid>
      <w:tr w:rsidR="0031121E" w:rsidRPr="00D654F7" w14:paraId="765D34F6" w14:textId="77777777" w:rsidTr="00F906F6">
        <w:trPr>
          <w:trHeight w:val="315"/>
          <w:jc w:val="center"/>
        </w:trPr>
        <w:tc>
          <w:tcPr>
            <w:tcW w:w="210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FDD3F9C" w14:textId="77777777" w:rsidR="0031121E" w:rsidRPr="00D654F7" w:rsidRDefault="0031121E" w:rsidP="001779AD">
            <w:pPr>
              <w:spacing w:after="0" w:line="240" w:lineRule="auto"/>
              <w:rPr>
                <w:rFonts w:ascii="Book Antiqua" w:eastAsia="Times New Roman" w:hAnsi="Book Antiqua" w:cs="Times New Roman"/>
                <w:b/>
                <w:bCs/>
                <w:color w:val="000000"/>
                <w:sz w:val="24"/>
                <w:szCs w:val="24"/>
              </w:rPr>
            </w:pPr>
          </w:p>
        </w:tc>
        <w:tc>
          <w:tcPr>
            <w:tcW w:w="1292" w:type="dxa"/>
            <w:tcBorders>
              <w:top w:val="single" w:sz="8" w:space="0" w:color="000000"/>
              <w:left w:val="nil"/>
              <w:bottom w:val="single" w:sz="8" w:space="0" w:color="000000"/>
              <w:right w:val="single" w:sz="8" w:space="0" w:color="000000"/>
            </w:tcBorders>
            <w:shd w:val="clear" w:color="auto" w:fill="auto"/>
            <w:vAlign w:val="center"/>
          </w:tcPr>
          <w:p w14:paraId="25DE2887" w14:textId="77777777" w:rsidR="0031121E" w:rsidRPr="00D654F7" w:rsidRDefault="00B9221C" w:rsidP="001779AD">
            <w:pPr>
              <w:spacing w:after="0" w:line="240" w:lineRule="auto"/>
              <w:jc w:val="right"/>
              <w:rPr>
                <w:rFonts w:ascii="Book Antiqua" w:eastAsia="Times New Roman" w:hAnsi="Book Antiqua" w:cs="Times New Roman"/>
                <w:b/>
                <w:bCs/>
                <w:color w:val="000000"/>
                <w:sz w:val="24"/>
                <w:szCs w:val="24"/>
              </w:rPr>
            </w:pPr>
            <w:bookmarkStart w:id="23" w:name="_heading=h.2507imcp9va1" w:colFirst="0" w:colLast="0"/>
            <w:bookmarkEnd w:id="23"/>
            <w:r w:rsidRPr="00D654F7">
              <w:rPr>
                <w:rFonts w:ascii="Book Antiqua" w:eastAsia="Times New Roman" w:hAnsi="Book Antiqua" w:cs="Times New Roman"/>
                <w:b/>
                <w:bCs/>
                <w:color w:val="000000"/>
                <w:sz w:val="24"/>
                <w:szCs w:val="24"/>
              </w:rPr>
              <w:t>Q²predict</w:t>
            </w:r>
          </w:p>
        </w:tc>
        <w:tc>
          <w:tcPr>
            <w:tcW w:w="993" w:type="dxa"/>
            <w:tcBorders>
              <w:top w:val="single" w:sz="8" w:space="0" w:color="000000"/>
              <w:left w:val="nil"/>
              <w:bottom w:val="single" w:sz="8" w:space="0" w:color="000000"/>
              <w:right w:val="single" w:sz="8" w:space="0" w:color="000000"/>
            </w:tcBorders>
            <w:shd w:val="clear" w:color="auto" w:fill="auto"/>
            <w:vAlign w:val="center"/>
          </w:tcPr>
          <w:p w14:paraId="56C58940" w14:textId="77777777" w:rsidR="0031121E" w:rsidRPr="00D654F7" w:rsidRDefault="00B9221C" w:rsidP="001779AD">
            <w:pPr>
              <w:spacing w:after="0" w:line="240" w:lineRule="auto"/>
              <w:jc w:val="right"/>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RMSE</w:t>
            </w:r>
          </w:p>
        </w:tc>
        <w:tc>
          <w:tcPr>
            <w:tcW w:w="843" w:type="dxa"/>
            <w:tcBorders>
              <w:top w:val="single" w:sz="8" w:space="0" w:color="000000"/>
              <w:left w:val="nil"/>
              <w:bottom w:val="single" w:sz="8" w:space="0" w:color="000000"/>
              <w:right w:val="single" w:sz="8" w:space="0" w:color="000000"/>
            </w:tcBorders>
            <w:shd w:val="clear" w:color="auto" w:fill="auto"/>
            <w:vAlign w:val="center"/>
          </w:tcPr>
          <w:p w14:paraId="732F3DA7" w14:textId="77777777" w:rsidR="0031121E" w:rsidRPr="00D654F7" w:rsidRDefault="00B9221C" w:rsidP="001779AD">
            <w:pPr>
              <w:spacing w:after="0" w:line="240" w:lineRule="auto"/>
              <w:jc w:val="right"/>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MAE</w:t>
            </w:r>
          </w:p>
        </w:tc>
      </w:tr>
      <w:tr w:rsidR="0031121E" w:rsidRPr="00D654F7" w14:paraId="3CBB416D" w14:textId="77777777" w:rsidTr="00F906F6">
        <w:trPr>
          <w:trHeight w:val="315"/>
          <w:jc w:val="center"/>
        </w:trPr>
        <w:tc>
          <w:tcPr>
            <w:tcW w:w="2100" w:type="dxa"/>
            <w:tcBorders>
              <w:top w:val="nil"/>
              <w:left w:val="single" w:sz="8" w:space="0" w:color="000000"/>
              <w:bottom w:val="single" w:sz="8" w:space="0" w:color="000000"/>
              <w:right w:val="single" w:sz="8" w:space="0" w:color="000000"/>
            </w:tcBorders>
            <w:shd w:val="clear" w:color="auto" w:fill="auto"/>
            <w:vAlign w:val="center"/>
          </w:tcPr>
          <w:p w14:paraId="70C5C6F6"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Meaning of Work (M)</w:t>
            </w:r>
          </w:p>
        </w:tc>
        <w:tc>
          <w:tcPr>
            <w:tcW w:w="1292" w:type="dxa"/>
            <w:tcBorders>
              <w:top w:val="nil"/>
              <w:left w:val="nil"/>
              <w:bottom w:val="single" w:sz="8" w:space="0" w:color="000000"/>
              <w:right w:val="single" w:sz="8" w:space="0" w:color="000000"/>
            </w:tcBorders>
            <w:shd w:val="clear" w:color="auto" w:fill="auto"/>
            <w:vAlign w:val="center"/>
          </w:tcPr>
          <w:p w14:paraId="6E6EC679"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0.389</w:t>
            </w:r>
          </w:p>
        </w:tc>
        <w:tc>
          <w:tcPr>
            <w:tcW w:w="993" w:type="dxa"/>
            <w:tcBorders>
              <w:top w:val="nil"/>
              <w:left w:val="nil"/>
              <w:bottom w:val="single" w:sz="8" w:space="0" w:color="000000"/>
              <w:right w:val="single" w:sz="8" w:space="0" w:color="000000"/>
            </w:tcBorders>
            <w:shd w:val="clear" w:color="auto" w:fill="auto"/>
            <w:vAlign w:val="center"/>
          </w:tcPr>
          <w:p w14:paraId="2AC0FA95"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0.8</w:t>
            </w:r>
          </w:p>
        </w:tc>
        <w:tc>
          <w:tcPr>
            <w:tcW w:w="843" w:type="dxa"/>
            <w:tcBorders>
              <w:top w:val="nil"/>
              <w:left w:val="nil"/>
              <w:bottom w:val="single" w:sz="8" w:space="0" w:color="000000"/>
              <w:right w:val="single" w:sz="8" w:space="0" w:color="000000"/>
            </w:tcBorders>
            <w:shd w:val="clear" w:color="auto" w:fill="auto"/>
            <w:vAlign w:val="center"/>
          </w:tcPr>
          <w:p w14:paraId="4859EBE3"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0.546</w:t>
            </w:r>
          </w:p>
        </w:tc>
      </w:tr>
      <w:tr w:rsidR="0031121E" w:rsidRPr="00D654F7" w14:paraId="1EB55E12" w14:textId="77777777" w:rsidTr="00F906F6">
        <w:trPr>
          <w:trHeight w:val="315"/>
          <w:jc w:val="center"/>
        </w:trPr>
        <w:tc>
          <w:tcPr>
            <w:tcW w:w="2100" w:type="dxa"/>
            <w:tcBorders>
              <w:top w:val="nil"/>
              <w:left w:val="single" w:sz="8" w:space="0" w:color="000000"/>
              <w:bottom w:val="single" w:sz="8" w:space="0" w:color="000000"/>
              <w:right w:val="single" w:sz="8" w:space="0" w:color="000000"/>
            </w:tcBorders>
            <w:shd w:val="clear" w:color="auto" w:fill="auto"/>
            <w:vAlign w:val="center"/>
          </w:tcPr>
          <w:p w14:paraId="76C9C3E4" w14:textId="77777777" w:rsidR="0031121E" w:rsidRPr="00D654F7" w:rsidRDefault="00B9221C" w:rsidP="001779AD">
            <w:pPr>
              <w:spacing w:after="0" w:line="240" w:lineRule="auto"/>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Employee Retention (Y)</w:t>
            </w:r>
          </w:p>
        </w:tc>
        <w:tc>
          <w:tcPr>
            <w:tcW w:w="1292" w:type="dxa"/>
            <w:tcBorders>
              <w:top w:val="nil"/>
              <w:left w:val="nil"/>
              <w:bottom w:val="single" w:sz="8" w:space="0" w:color="000000"/>
              <w:right w:val="single" w:sz="8" w:space="0" w:color="000000"/>
            </w:tcBorders>
            <w:shd w:val="clear" w:color="auto" w:fill="auto"/>
            <w:vAlign w:val="center"/>
          </w:tcPr>
          <w:p w14:paraId="356D051A"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0.59</w:t>
            </w:r>
          </w:p>
        </w:tc>
        <w:tc>
          <w:tcPr>
            <w:tcW w:w="993" w:type="dxa"/>
            <w:tcBorders>
              <w:top w:val="nil"/>
              <w:left w:val="nil"/>
              <w:bottom w:val="single" w:sz="8" w:space="0" w:color="000000"/>
              <w:right w:val="single" w:sz="8" w:space="0" w:color="000000"/>
            </w:tcBorders>
            <w:shd w:val="clear" w:color="auto" w:fill="auto"/>
            <w:vAlign w:val="center"/>
          </w:tcPr>
          <w:p w14:paraId="32699947"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0.657</w:t>
            </w:r>
          </w:p>
        </w:tc>
        <w:tc>
          <w:tcPr>
            <w:tcW w:w="843" w:type="dxa"/>
            <w:tcBorders>
              <w:top w:val="nil"/>
              <w:left w:val="nil"/>
              <w:bottom w:val="single" w:sz="8" w:space="0" w:color="000000"/>
              <w:right w:val="single" w:sz="8" w:space="0" w:color="000000"/>
            </w:tcBorders>
            <w:shd w:val="clear" w:color="auto" w:fill="auto"/>
            <w:vAlign w:val="center"/>
          </w:tcPr>
          <w:p w14:paraId="182A02AD" w14:textId="77777777" w:rsidR="0031121E" w:rsidRPr="00D654F7" w:rsidRDefault="00B9221C" w:rsidP="001779AD">
            <w:pPr>
              <w:spacing w:after="0" w:line="240" w:lineRule="auto"/>
              <w:jc w:val="right"/>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0.479</w:t>
            </w:r>
          </w:p>
        </w:tc>
      </w:tr>
    </w:tbl>
    <w:p w14:paraId="2EE6AD5C" w14:textId="77777777" w:rsidR="0031121E" w:rsidRPr="00D654F7" w:rsidRDefault="00B9221C" w:rsidP="001779AD">
      <w:pPr>
        <w:spacing w:after="0" w:line="240" w:lineRule="auto"/>
        <w:ind w:left="426"/>
        <w:jc w:val="center"/>
        <w:rPr>
          <w:rFonts w:ascii="Book Antiqua" w:eastAsia="Times New Roman" w:hAnsi="Book Antiqua" w:cs="Times New Roman"/>
          <w:sz w:val="24"/>
          <w:szCs w:val="24"/>
        </w:rPr>
      </w:pPr>
      <w:r w:rsidRPr="00D654F7">
        <w:rPr>
          <w:rFonts w:ascii="Book Antiqua" w:eastAsia="Times New Roman" w:hAnsi="Book Antiqua" w:cs="Times New Roman"/>
          <w:sz w:val="24"/>
          <w:szCs w:val="24"/>
        </w:rPr>
        <w:t>Source: Processed data, 2025</w:t>
      </w:r>
    </w:p>
    <w:p w14:paraId="62956D93" w14:textId="77777777" w:rsidR="0031121E" w:rsidRPr="00D654F7" w:rsidRDefault="007429DB" w:rsidP="00387117">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Based on the Q²predict test results presented in Table 16, the Q²predict value for the Meaning of Work (M) variable was recorded at 0.389, while the Employee Retention (Y) variable had a value of 0.590. A Q²predict value above zero indicates that the model has adequate predictive ability. Furthermore, the Q²predict value for the Meaning of Work (M) variable reflects a moderate predictive ability, while the Q²predict value for the Employee Retention (Y) variable indicates a strong level of predictive ability. These findings indicate that employee engagement and perceived usefulness of CSR programs are able to predict the meaning of work quite well, and together with the meaning of work can explain and predict employee retention with a higher level of accuracy.</w:t>
      </w:r>
    </w:p>
    <w:p w14:paraId="1999815D" w14:textId="77777777" w:rsidR="0031121E" w:rsidRPr="00D654F7" w:rsidRDefault="0031121E" w:rsidP="001779AD">
      <w:pPr>
        <w:spacing w:after="0" w:line="240" w:lineRule="auto"/>
        <w:ind w:left="426" w:firstLine="567"/>
        <w:jc w:val="both"/>
        <w:rPr>
          <w:rFonts w:ascii="Book Antiqua" w:eastAsia="Times New Roman" w:hAnsi="Book Antiqua" w:cs="Times New Roman"/>
          <w:b/>
          <w:bCs/>
          <w:sz w:val="24"/>
          <w:szCs w:val="24"/>
        </w:rPr>
      </w:pPr>
    </w:p>
    <w:p w14:paraId="310481E9" w14:textId="77777777" w:rsidR="0031121E" w:rsidRPr="00D654F7" w:rsidRDefault="00B9221C" w:rsidP="00387117">
      <w:pPr>
        <w:numPr>
          <w:ilvl w:val="0"/>
          <w:numId w:val="2"/>
        </w:numPr>
        <w:pBdr>
          <w:top w:val="nil"/>
          <w:left w:val="nil"/>
          <w:bottom w:val="nil"/>
          <w:right w:val="nil"/>
          <w:between w:val="nil"/>
        </w:pBdr>
        <w:spacing w:after="0" w:line="240" w:lineRule="auto"/>
        <w:ind w:left="357" w:hanging="357"/>
        <w:jc w:val="both"/>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Hypothesis Testing</w:t>
      </w:r>
    </w:p>
    <w:p w14:paraId="14F8992B" w14:textId="77777777" w:rsidR="0031121E" w:rsidRPr="00D654F7" w:rsidRDefault="007429DB" w:rsidP="00387117">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Hypothesis testing in this study was conducted through structural model analysis (inner model), which included evaluating the R-square value, path coefficient, and t-statistic value. The determination of whether to accept or reject the hypothesis was based on the level of significance of the relationship between constructs as indicated by the t-statistic and p-value. The testing process was carried out using SmartPLS 3.0 software using the bootstrapping method. The criteria used in this study stipulate that a relationship is declared statistically significant if it has a t-statistic value greater than 1.96, a p-value less than 0.05, and a positive path coefficient. A visual depiction of the hypothesis testing results is presented in Figure 3.</w:t>
      </w:r>
    </w:p>
    <w:p w14:paraId="2018D213" w14:textId="77777777" w:rsidR="0031121E" w:rsidRPr="00D654F7" w:rsidRDefault="007429DB" w:rsidP="001779AD">
      <w:pPr>
        <w:spacing w:after="0" w:line="240" w:lineRule="auto"/>
        <w:ind w:left="426" w:firstLine="708"/>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 xml:space="preserve"> </w:t>
      </w:r>
    </w:p>
    <w:p w14:paraId="733FF95E" w14:textId="77777777" w:rsidR="0031121E" w:rsidRPr="00D654F7" w:rsidRDefault="00B9221C" w:rsidP="001779AD">
      <w:pPr>
        <w:spacing w:after="0" w:line="240" w:lineRule="auto"/>
        <w:jc w:val="center"/>
        <w:rPr>
          <w:rFonts w:ascii="Book Antiqua" w:eastAsia="Times New Roman" w:hAnsi="Book Antiqua" w:cs="Times New Roman"/>
          <w:b/>
          <w:bCs/>
          <w:sz w:val="24"/>
          <w:szCs w:val="24"/>
        </w:rPr>
      </w:pPr>
      <w:r w:rsidRPr="00D654F7">
        <w:rPr>
          <w:rFonts w:ascii="Book Antiqua" w:eastAsia="Times New Roman" w:hAnsi="Book Antiqua" w:cs="Times New Roman"/>
          <w:b/>
          <w:bCs/>
          <w:noProof/>
          <w:sz w:val="24"/>
          <w:szCs w:val="24"/>
          <w:lang w:val="en-ID"/>
        </w:rPr>
        <w:drawing>
          <wp:inline distT="0" distB="0" distL="0" distR="0" wp14:anchorId="7A552BD6" wp14:editId="307FBBCF">
            <wp:extent cx="4298868" cy="1721923"/>
            <wp:effectExtent l="0" t="0" r="6985" b="0"/>
            <wp:docPr id="158297696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2"/>
                    <a:srcRect/>
                    <a:stretch>
                      <a:fillRect/>
                    </a:stretch>
                  </pic:blipFill>
                  <pic:spPr>
                    <a:xfrm>
                      <a:off x="0" y="0"/>
                      <a:ext cx="4300696" cy="1722655"/>
                    </a:xfrm>
                    <a:prstGeom prst="rect">
                      <a:avLst/>
                    </a:prstGeom>
                    <a:ln/>
                  </pic:spPr>
                </pic:pic>
              </a:graphicData>
            </a:graphic>
          </wp:inline>
        </w:drawing>
      </w:r>
    </w:p>
    <w:p w14:paraId="784E7C83" w14:textId="77777777" w:rsidR="0031121E" w:rsidRPr="00D654F7" w:rsidRDefault="00B9221C" w:rsidP="001779AD">
      <w:pPr>
        <w:spacing w:after="0" w:line="240" w:lineRule="auto"/>
        <w:jc w:val="center"/>
        <w:rPr>
          <w:rFonts w:ascii="Book Antiqua" w:eastAsia="Times New Roman" w:hAnsi="Book Antiqua" w:cs="Times New Roman"/>
          <w:b/>
          <w:bCs/>
          <w:sz w:val="24"/>
          <w:szCs w:val="24"/>
        </w:rPr>
      </w:pPr>
      <w:bookmarkStart w:id="24" w:name="_heading=h.ai0hobx0h52v" w:colFirst="0" w:colLast="0"/>
      <w:bookmarkEnd w:id="24"/>
      <w:r w:rsidRPr="00D654F7">
        <w:rPr>
          <w:rFonts w:ascii="Book Antiqua" w:eastAsia="Times New Roman" w:hAnsi="Book Antiqua" w:cs="Times New Roman"/>
          <w:b/>
          <w:bCs/>
          <w:sz w:val="24"/>
          <w:szCs w:val="24"/>
        </w:rPr>
        <w:t>Figure 3. Hypothesis Testing Results</w:t>
      </w:r>
    </w:p>
    <w:p w14:paraId="760BA70C" w14:textId="77777777" w:rsidR="0031121E" w:rsidRPr="00D654F7" w:rsidRDefault="00B9221C" w:rsidP="00387117">
      <w:pPr>
        <w:numPr>
          <w:ilvl w:val="0"/>
          <w:numId w:val="6"/>
        </w:numPr>
        <w:pBdr>
          <w:top w:val="nil"/>
          <w:left w:val="nil"/>
          <w:bottom w:val="nil"/>
          <w:right w:val="nil"/>
          <w:between w:val="nil"/>
        </w:pBdr>
        <w:spacing w:after="0" w:line="240" w:lineRule="auto"/>
        <w:ind w:left="357" w:hanging="357"/>
        <w:jc w:val="both"/>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Direct Influence</w:t>
      </w:r>
    </w:p>
    <w:p w14:paraId="38146222" w14:textId="77777777" w:rsidR="0031121E" w:rsidRPr="00387117" w:rsidRDefault="00B9221C" w:rsidP="00387117">
      <w:pPr>
        <w:pBdr>
          <w:top w:val="nil"/>
          <w:left w:val="nil"/>
          <w:bottom w:val="nil"/>
          <w:right w:val="nil"/>
          <w:between w:val="nil"/>
        </w:pBdr>
        <w:spacing w:after="0" w:line="240" w:lineRule="auto"/>
        <w:jc w:val="both"/>
        <w:rPr>
          <w:rFonts w:ascii="Book Antiqua" w:eastAsia="Times New Roman" w:hAnsi="Book Antiqua" w:cs="Times New Roman"/>
          <w:b/>
          <w:color w:val="000000"/>
          <w:sz w:val="24"/>
          <w:szCs w:val="24"/>
        </w:rPr>
      </w:pPr>
      <w:r w:rsidRPr="00387117">
        <w:rPr>
          <w:rFonts w:ascii="Book Antiqua" w:eastAsia="Times New Roman" w:hAnsi="Book Antiqua" w:cs="Times New Roman"/>
          <w:b/>
          <w:color w:val="000000"/>
          <w:sz w:val="24"/>
          <w:szCs w:val="24"/>
        </w:rPr>
        <w:t>Employee Engagement in the Meaning of Work</w:t>
      </w:r>
    </w:p>
    <w:p w14:paraId="0105860D" w14:textId="77777777" w:rsidR="0031121E" w:rsidRDefault="007429DB" w:rsidP="00387117">
      <w:pPr>
        <w:pBdr>
          <w:top w:val="nil"/>
          <w:left w:val="nil"/>
          <w:bottom w:val="nil"/>
          <w:right w:val="nil"/>
          <w:between w:val="nil"/>
        </w:pBdr>
        <w:spacing w:after="0" w:line="240" w:lineRule="auto"/>
        <w:ind w:firstLine="567"/>
        <w:jc w:val="both"/>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The relationship between Employee Engagement and Meaningful Work is indicated by a path coefficient of 0.369, with a t-statistic of 3.130 and a p-value of 0.002. Since the p-value is less than 0.05, the null hypothesis is rejected and the alternative hypothesis is accepted. These results indicate that increasing levels of employee engagement in organizational activities are correlated with stronger employee perceptions of the meaning felt in their work.</w:t>
      </w:r>
    </w:p>
    <w:p w14:paraId="4BF45014" w14:textId="77777777" w:rsidR="00387117" w:rsidRDefault="00387117" w:rsidP="00387117">
      <w:pPr>
        <w:pBdr>
          <w:top w:val="nil"/>
          <w:left w:val="nil"/>
          <w:bottom w:val="nil"/>
          <w:right w:val="nil"/>
          <w:between w:val="nil"/>
        </w:pBdr>
        <w:spacing w:after="0" w:line="240" w:lineRule="auto"/>
        <w:ind w:firstLine="567"/>
        <w:jc w:val="both"/>
        <w:rPr>
          <w:rFonts w:ascii="Book Antiqua" w:eastAsia="Times New Roman" w:hAnsi="Book Antiqua" w:cs="Times New Roman"/>
          <w:color w:val="000000"/>
          <w:sz w:val="24"/>
          <w:szCs w:val="24"/>
        </w:rPr>
      </w:pPr>
    </w:p>
    <w:p w14:paraId="76B0E14F" w14:textId="77777777" w:rsidR="0031121E" w:rsidRPr="00387117" w:rsidRDefault="00B9221C" w:rsidP="00387117">
      <w:pPr>
        <w:pBdr>
          <w:top w:val="nil"/>
          <w:left w:val="nil"/>
          <w:bottom w:val="nil"/>
          <w:right w:val="nil"/>
          <w:between w:val="nil"/>
        </w:pBdr>
        <w:spacing w:after="0" w:line="240" w:lineRule="auto"/>
        <w:jc w:val="both"/>
        <w:rPr>
          <w:rFonts w:ascii="Book Antiqua" w:eastAsia="Times New Roman" w:hAnsi="Book Antiqua" w:cs="Times New Roman"/>
          <w:b/>
          <w:color w:val="000000"/>
          <w:sz w:val="24"/>
          <w:szCs w:val="24"/>
        </w:rPr>
      </w:pPr>
      <w:r w:rsidRPr="00387117">
        <w:rPr>
          <w:rFonts w:ascii="Book Antiqua" w:eastAsia="Times New Roman" w:hAnsi="Book Antiqua" w:cs="Times New Roman"/>
          <w:b/>
          <w:color w:val="000000"/>
          <w:sz w:val="24"/>
          <w:szCs w:val="24"/>
        </w:rPr>
        <w:t>Employee Engagement on Employee Retention</w:t>
      </w:r>
    </w:p>
    <w:p w14:paraId="7AC09B64" w14:textId="77777777" w:rsidR="0031121E" w:rsidRPr="00D654F7" w:rsidRDefault="007429DB" w:rsidP="00387117">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The relationship between Employee Engagement and Employee Retention yielded a path coefficient of 0.312, a t-statistic of 3.777, and a p-value of 0.000, confirming the hypothesis. These findings indicate that higher levels of employee engagement significantly contribute to increased employee intention to remain with the company.</w:t>
      </w:r>
    </w:p>
    <w:p w14:paraId="4A1649BB" w14:textId="77777777" w:rsidR="0031121E" w:rsidRPr="00387117" w:rsidRDefault="00B9221C" w:rsidP="00387117">
      <w:pPr>
        <w:pBdr>
          <w:top w:val="nil"/>
          <w:left w:val="nil"/>
          <w:bottom w:val="nil"/>
          <w:right w:val="nil"/>
          <w:between w:val="nil"/>
        </w:pBdr>
        <w:spacing w:after="0" w:line="240" w:lineRule="auto"/>
        <w:jc w:val="both"/>
        <w:rPr>
          <w:rFonts w:ascii="Book Antiqua" w:eastAsia="Times New Roman" w:hAnsi="Book Antiqua" w:cs="Times New Roman"/>
          <w:b/>
          <w:color w:val="000000"/>
          <w:sz w:val="24"/>
          <w:szCs w:val="24"/>
        </w:rPr>
      </w:pPr>
      <w:r w:rsidRPr="00387117">
        <w:rPr>
          <w:rFonts w:ascii="Book Antiqua" w:eastAsia="Times New Roman" w:hAnsi="Book Antiqua" w:cs="Times New Roman"/>
          <w:b/>
          <w:color w:val="000000"/>
          <w:sz w:val="24"/>
          <w:szCs w:val="24"/>
        </w:rPr>
        <w:t>The Meaning of Work on Employee Retention</w:t>
      </w:r>
    </w:p>
    <w:p w14:paraId="54177542" w14:textId="77777777" w:rsidR="0031121E" w:rsidRPr="00D654F7" w:rsidRDefault="007429DB" w:rsidP="00387117">
      <w:pPr>
        <w:pBdr>
          <w:top w:val="nil"/>
          <w:left w:val="nil"/>
          <w:bottom w:val="nil"/>
          <w:right w:val="nil"/>
          <w:between w:val="nil"/>
        </w:pBdr>
        <w:spacing w:after="0" w:line="240" w:lineRule="auto"/>
        <w:ind w:firstLine="567"/>
        <w:jc w:val="both"/>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The relationship between Meaningful Work and Employee Retention is indicated by a path coefficient value of 0.293, with a t-statistic value of 3.052 and a p-value of 0.002. Since the p-value is below the significance limit of 0.05, it can be concluded that employee perceptions of meaningful work have a positive and significant influence on the decision to remain in the organization.</w:t>
      </w:r>
    </w:p>
    <w:p w14:paraId="22FA3527" w14:textId="77777777" w:rsidR="0031121E" w:rsidRPr="00387117" w:rsidRDefault="00B9221C" w:rsidP="00387117">
      <w:pPr>
        <w:pBdr>
          <w:top w:val="nil"/>
          <w:left w:val="nil"/>
          <w:bottom w:val="nil"/>
          <w:right w:val="nil"/>
          <w:between w:val="nil"/>
        </w:pBdr>
        <w:spacing w:after="0" w:line="240" w:lineRule="auto"/>
        <w:jc w:val="both"/>
        <w:rPr>
          <w:rFonts w:ascii="Book Antiqua" w:eastAsia="Times New Roman" w:hAnsi="Book Antiqua" w:cs="Times New Roman"/>
          <w:b/>
          <w:color w:val="000000"/>
          <w:sz w:val="24"/>
          <w:szCs w:val="24"/>
        </w:rPr>
      </w:pPr>
      <w:r w:rsidRPr="00387117">
        <w:rPr>
          <w:rFonts w:ascii="Book Antiqua" w:eastAsia="Times New Roman" w:hAnsi="Book Antiqua" w:cs="Times New Roman"/>
          <w:b/>
          <w:color w:val="000000"/>
          <w:sz w:val="24"/>
          <w:szCs w:val="24"/>
        </w:rPr>
        <w:t>Perception of Benefit on Employee Retention</w:t>
      </w:r>
    </w:p>
    <w:p w14:paraId="73D5DA47" w14:textId="77777777" w:rsidR="0031121E" w:rsidRPr="00D654F7" w:rsidRDefault="007429DB" w:rsidP="00387117">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In testing the relationship between Perceived Benefit and Employee Retention, a path coefficient of 0.384 was obtained, with a t-statistic of 5.246 and a p-value of 0.000, indicating a strong and significant influence. These findings indicate that positive employee perceptions of the benefits of CSR programs directly increase their desire to remain employed and stay with the company.</w:t>
      </w:r>
    </w:p>
    <w:p w14:paraId="6E23D013" w14:textId="77777777" w:rsidR="0031121E" w:rsidRPr="00387117" w:rsidRDefault="00B9221C" w:rsidP="00387117">
      <w:pPr>
        <w:pBdr>
          <w:top w:val="nil"/>
          <w:left w:val="nil"/>
          <w:bottom w:val="nil"/>
          <w:right w:val="nil"/>
          <w:between w:val="nil"/>
        </w:pBdr>
        <w:spacing w:after="0" w:line="240" w:lineRule="auto"/>
        <w:jc w:val="both"/>
        <w:rPr>
          <w:rFonts w:ascii="Book Antiqua" w:eastAsia="Times New Roman" w:hAnsi="Book Antiqua" w:cs="Times New Roman"/>
          <w:b/>
          <w:color w:val="000000"/>
          <w:sz w:val="24"/>
          <w:szCs w:val="24"/>
        </w:rPr>
      </w:pPr>
      <w:r w:rsidRPr="00387117">
        <w:rPr>
          <w:rFonts w:ascii="Book Antiqua" w:eastAsia="Times New Roman" w:hAnsi="Book Antiqua" w:cs="Times New Roman"/>
          <w:b/>
          <w:color w:val="000000"/>
          <w:sz w:val="24"/>
          <w:szCs w:val="24"/>
        </w:rPr>
        <w:t>Perception of Usefulness towards the Meaning of Work</w:t>
      </w:r>
    </w:p>
    <w:p w14:paraId="6EF25386" w14:textId="77777777" w:rsidR="0031121E" w:rsidRPr="00D654F7" w:rsidRDefault="007429DB" w:rsidP="00387117">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Furthermore, testing the relationship between Perceived Usefulness and Meaning of Work yielded a path coefficient of 0.406, with a t-statistic of 3.598 and a p-value of 0.000. These findings strengthen the evidence that when employees perceive company policies or programs as valuable and beneficial, their level of meaning in the work they do also tends to increase.</w:t>
      </w:r>
    </w:p>
    <w:p w14:paraId="617B27CD" w14:textId="77777777" w:rsidR="0031121E" w:rsidRPr="00D654F7" w:rsidRDefault="0031121E" w:rsidP="001779AD">
      <w:pPr>
        <w:spacing w:after="0" w:line="240" w:lineRule="auto"/>
        <w:ind w:left="1134" w:firstLine="567"/>
        <w:jc w:val="both"/>
        <w:rPr>
          <w:rFonts w:ascii="Book Antiqua" w:eastAsia="Times New Roman" w:hAnsi="Book Antiqua" w:cs="Times New Roman"/>
          <w:sz w:val="24"/>
          <w:szCs w:val="24"/>
        </w:rPr>
      </w:pPr>
    </w:p>
    <w:p w14:paraId="4CB2C182" w14:textId="77777777" w:rsidR="0031121E" w:rsidRPr="00D654F7" w:rsidRDefault="00B9221C" w:rsidP="00387117">
      <w:pPr>
        <w:numPr>
          <w:ilvl w:val="0"/>
          <w:numId w:val="6"/>
        </w:numPr>
        <w:pBdr>
          <w:top w:val="nil"/>
          <w:left w:val="nil"/>
          <w:bottom w:val="nil"/>
          <w:right w:val="nil"/>
          <w:between w:val="nil"/>
        </w:pBdr>
        <w:spacing w:after="0" w:line="240" w:lineRule="auto"/>
        <w:ind w:left="357" w:hanging="357"/>
        <w:jc w:val="both"/>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Indirect Influence Through the Meaning of Work</w:t>
      </w:r>
    </w:p>
    <w:p w14:paraId="00B6707F" w14:textId="77777777" w:rsidR="0031121E" w:rsidRPr="00387117" w:rsidRDefault="00B9221C" w:rsidP="00387117">
      <w:pPr>
        <w:pBdr>
          <w:top w:val="nil"/>
          <w:left w:val="nil"/>
          <w:bottom w:val="nil"/>
          <w:right w:val="nil"/>
          <w:between w:val="nil"/>
        </w:pBdr>
        <w:spacing w:after="0" w:line="240" w:lineRule="auto"/>
        <w:jc w:val="both"/>
        <w:rPr>
          <w:rFonts w:ascii="Book Antiqua" w:eastAsia="Times New Roman" w:hAnsi="Book Antiqua" w:cs="Times New Roman"/>
          <w:b/>
          <w:color w:val="000000"/>
          <w:sz w:val="24"/>
          <w:szCs w:val="24"/>
        </w:rPr>
      </w:pPr>
      <w:r w:rsidRPr="00387117">
        <w:rPr>
          <w:rFonts w:ascii="Book Antiqua" w:eastAsia="Times New Roman" w:hAnsi="Book Antiqua" w:cs="Times New Roman"/>
          <w:b/>
          <w:color w:val="000000"/>
          <w:sz w:val="24"/>
          <w:szCs w:val="24"/>
        </w:rPr>
        <w:t>Employee Engagement in the Meaning of Work</w:t>
      </w:r>
    </w:p>
    <w:p w14:paraId="72066A90" w14:textId="77777777" w:rsidR="0031121E" w:rsidRDefault="007429DB" w:rsidP="00387117">
      <w:pPr>
        <w:pBdr>
          <w:top w:val="nil"/>
          <w:left w:val="nil"/>
          <w:bottom w:val="nil"/>
          <w:right w:val="nil"/>
          <w:between w:val="nil"/>
        </w:pBdr>
        <w:spacing w:after="0" w:line="240" w:lineRule="auto"/>
        <w:ind w:firstLine="567"/>
        <w:jc w:val="both"/>
        <w:rPr>
          <w:rFonts w:ascii="Book Antiqua" w:eastAsia="Times New Roman" w:hAnsi="Book Antiqua" w:cs="Times New Roman"/>
          <w:color w:val="000000"/>
          <w:sz w:val="24"/>
          <w:szCs w:val="24"/>
        </w:rPr>
      </w:pPr>
      <w:r w:rsidRPr="00D654F7">
        <w:rPr>
          <w:rFonts w:ascii="Book Antiqua" w:eastAsia="Times New Roman" w:hAnsi="Book Antiqua" w:cs="Times New Roman"/>
          <w:color w:val="000000"/>
          <w:sz w:val="24"/>
          <w:szCs w:val="24"/>
        </w:rPr>
        <w:t>The indirect relationship test between Employee Engagement and Employee Retention through Work Meaning shows an influence value of 0.108, with a t-statistic value of 2.073 and a p-value of 0.038. Since the p-value is less than 0.05, the null hypothesis is rejected and the alternative hypothesis is accepted. This finding indicates a positive and significant mediation effect, where employee engagement plays a role in increasing work meaning first, which subsequently has an impact on increasing employee retention. Considering that the direct relationship between employee engagement and employee retention is also proven to be significant, the mediation pattern formed in this model can be categorized as partial mediation.</w:t>
      </w:r>
    </w:p>
    <w:p w14:paraId="7B32F984" w14:textId="77777777" w:rsidR="0031121E" w:rsidRPr="00387117" w:rsidRDefault="00B9221C" w:rsidP="00387117">
      <w:pPr>
        <w:pBdr>
          <w:top w:val="nil"/>
          <w:left w:val="nil"/>
          <w:bottom w:val="nil"/>
          <w:right w:val="nil"/>
          <w:between w:val="nil"/>
        </w:pBdr>
        <w:spacing w:after="0" w:line="240" w:lineRule="auto"/>
        <w:jc w:val="both"/>
        <w:rPr>
          <w:rFonts w:ascii="Book Antiqua" w:eastAsia="Times New Roman" w:hAnsi="Book Antiqua" w:cs="Times New Roman"/>
          <w:b/>
          <w:color w:val="000000"/>
          <w:sz w:val="24"/>
          <w:szCs w:val="24"/>
        </w:rPr>
      </w:pPr>
      <w:r w:rsidRPr="00387117">
        <w:rPr>
          <w:rFonts w:ascii="Book Antiqua" w:eastAsia="Times New Roman" w:hAnsi="Book Antiqua" w:cs="Times New Roman"/>
          <w:b/>
          <w:color w:val="000000"/>
          <w:sz w:val="24"/>
          <w:szCs w:val="24"/>
        </w:rPr>
        <w:t>Employee Engagement on Employee Retention</w:t>
      </w:r>
    </w:p>
    <w:p w14:paraId="6D9B3536" w14:textId="77777777" w:rsidR="0031121E" w:rsidRPr="00D654F7" w:rsidRDefault="007429DB" w:rsidP="00387117">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Furthermore, testing the indirect relationship between Perceived Benefit and Employee Retention through Meaning of Work shows an influence value of 0.119, with a t-statistic value of 2.024 and a p-value of 0.043. Since the p-value is below the significance limit of 0.05, it can be stated that there is a positive and significant mediation effect. This finding indicates that employee perceptions of the benefits of company programs play a role in increasing the meaning of work, which in turn encourages increased employee intention to remain. Furthermore, the significance of both the direct and indirect paths indicates that the relationship forms a partial mediation pattern.</w:t>
      </w:r>
    </w:p>
    <w:p w14:paraId="765546FC" w14:textId="77777777" w:rsidR="0031121E" w:rsidRPr="00D654F7" w:rsidRDefault="0031121E" w:rsidP="001779AD">
      <w:pPr>
        <w:spacing w:after="0" w:line="240" w:lineRule="auto"/>
        <w:ind w:left="1134" w:firstLine="567"/>
        <w:jc w:val="both"/>
        <w:rPr>
          <w:rFonts w:ascii="Book Antiqua" w:eastAsia="Times New Roman" w:hAnsi="Book Antiqua" w:cs="Times New Roman"/>
          <w:sz w:val="24"/>
          <w:szCs w:val="24"/>
        </w:rPr>
      </w:pPr>
    </w:p>
    <w:p w14:paraId="409120D1" w14:textId="77777777" w:rsidR="0031121E" w:rsidRPr="00D654F7" w:rsidRDefault="00B9221C" w:rsidP="001779AD">
      <w:pPr>
        <w:spacing w:after="0" w:line="240" w:lineRule="auto"/>
        <w:jc w:val="both"/>
        <w:rPr>
          <w:rFonts w:ascii="Book Antiqua" w:eastAsia="Times New Roman" w:hAnsi="Book Antiqua" w:cs="Times New Roman"/>
          <w:b/>
          <w:bCs/>
          <w:sz w:val="24"/>
          <w:szCs w:val="24"/>
        </w:rPr>
      </w:pPr>
      <w:r w:rsidRPr="00013ADD">
        <w:rPr>
          <w:rFonts w:ascii="Book Antiqua" w:eastAsia="Times New Roman" w:hAnsi="Book Antiqua" w:cs="Times New Roman"/>
          <w:b/>
          <w:bCs/>
          <w:sz w:val="24"/>
          <w:szCs w:val="24"/>
        </w:rPr>
        <w:t>DISCUSSION</w:t>
      </w:r>
    </w:p>
    <w:p w14:paraId="1AA4C1BA" w14:textId="77777777" w:rsidR="00935A03" w:rsidRPr="00935A03" w:rsidRDefault="00935A03" w:rsidP="001779AD">
      <w:pPr>
        <w:spacing w:after="0" w:line="240" w:lineRule="auto"/>
        <w:ind w:firstLine="567"/>
        <w:jc w:val="both"/>
        <w:rPr>
          <w:rFonts w:ascii="Book Antiqua" w:eastAsia="Times New Roman" w:hAnsi="Book Antiqua" w:cs="Times New Roman"/>
          <w:sz w:val="24"/>
          <w:szCs w:val="24"/>
        </w:rPr>
      </w:pPr>
      <w:r w:rsidRPr="00935A03">
        <w:rPr>
          <w:rFonts w:ascii="Book Antiqua" w:eastAsia="Times New Roman" w:hAnsi="Book Antiqua" w:cs="Times New Roman"/>
          <w:sz w:val="24"/>
          <w:szCs w:val="24"/>
        </w:rPr>
        <w:t>This study investigates the relationship between employee engagement in Corporate Social Responsibility (CSR) programs, specifically the digital-based Sedekah Sampah program, with work meaning and employee retention. Overall, the findings provide important insights into the influence of CSR programs on employees' perceptions of their work and how this influences their decision to remain with the organization. The results indicate that employee engagement in CSR, perceived usefulness of the program, and work meaning significantly influence employee retention. Furthermore, work meaning also serves as a mediator linking CSR engagement and perceived usefulness with the decision to remain with the company.</w:t>
      </w:r>
    </w:p>
    <w:p w14:paraId="3DA8C135" w14:textId="77777777" w:rsidR="00935A03" w:rsidRPr="00935A03" w:rsidRDefault="00935A03" w:rsidP="001779AD">
      <w:pPr>
        <w:spacing w:after="0" w:line="240" w:lineRule="auto"/>
        <w:ind w:firstLine="567"/>
        <w:jc w:val="both"/>
        <w:rPr>
          <w:rFonts w:ascii="Book Antiqua" w:eastAsia="Times New Roman" w:hAnsi="Book Antiqua" w:cs="Times New Roman"/>
          <w:sz w:val="24"/>
          <w:szCs w:val="24"/>
        </w:rPr>
      </w:pPr>
      <w:r w:rsidRPr="00935A03">
        <w:rPr>
          <w:rFonts w:ascii="Book Antiqua" w:eastAsia="Times New Roman" w:hAnsi="Book Antiqua" w:cs="Times New Roman"/>
          <w:sz w:val="24"/>
          <w:szCs w:val="24"/>
        </w:rPr>
        <w:t>Employee engagement in CSR programs has a significant impact on the meaning of their work. This is confirmed by the analysis results, which show a path coefficient of 0.369, a t-statistic of 3.130, and a p-value of 0.002. Employee engagement is measured through indicators such as frequency of participation, emotional involvement, concern for program outcomes, and intrinsic motivation to engage in CSR activities (Gupta et al., 2021). All of these indicators reflect various aspects of engagement, including physical, emotional, and cognitive. The results of this study strengthen the argument that employee engagement in corporate social activities can strengthen their perception of the meaning of their work. The higher employee engagement in company-facilitated CSR programs, the greater the sense of meaning they experience in their daily work. Employees who perceive their work as positively contributing to society or the environment are more likely to view their work as more meaningful (Gupta et al., 2021).</w:t>
      </w:r>
    </w:p>
    <w:p w14:paraId="0E08D06B" w14:textId="77777777" w:rsidR="00935A03" w:rsidRPr="00935A03" w:rsidRDefault="00935A03" w:rsidP="001779AD">
      <w:pPr>
        <w:spacing w:after="0" w:line="240" w:lineRule="auto"/>
        <w:ind w:firstLine="567"/>
        <w:jc w:val="both"/>
        <w:rPr>
          <w:rFonts w:ascii="Book Antiqua" w:eastAsia="Times New Roman" w:hAnsi="Book Antiqua" w:cs="Times New Roman"/>
          <w:sz w:val="24"/>
          <w:szCs w:val="24"/>
        </w:rPr>
      </w:pPr>
      <w:r w:rsidRPr="00935A03">
        <w:rPr>
          <w:rFonts w:ascii="Book Antiqua" w:eastAsia="Times New Roman" w:hAnsi="Book Antiqua" w:cs="Times New Roman"/>
          <w:sz w:val="24"/>
          <w:szCs w:val="24"/>
        </w:rPr>
        <w:t>The meaning of work itself, as the dependent variable in this study, was measured through several dimensions, namely the fit between the work and the employee's life values, the extent to which the work is considered personally important and meaningful, the social impact generated by the work, and a sense of pride in the contribution made (Lysova et al., 2019). This finding also aligns with previous research showing that employees who feel their work is connected to a larger social purpose tend to perceive their work as more meaningful. Wulandari's (2021) research emphasizes that direct involvement in CSR activities not only builds an emotional connection between employees and the organization but also strengthens employees' perceptions that their work has a positive impact on society. This is especially true for younger generations, such as Generation Z, who tend to place social values ​​as an important part of their work identity.</w:t>
      </w:r>
    </w:p>
    <w:p w14:paraId="03305B43" w14:textId="77777777" w:rsidR="00935A03" w:rsidRPr="00935A03" w:rsidRDefault="00935A03" w:rsidP="001779AD">
      <w:pPr>
        <w:spacing w:after="0" w:line="240" w:lineRule="auto"/>
        <w:ind w:firstLine="567"/>
        <w:jc w:val="both"/>
        <w:rPr>
          <w:rFonts w:ascii="Book Antiqua" w:eastAsia="Times New Roman" w:hAnsi="Book Antiqua" w:cs="Times New Roman"/>
          <w:sz w:val="24"/>
          <w:szCs w:val="24"/>
        </w:rPr>
      </w:pPr>
      <w:r w:rsidRPr="00935A03">
        <w:rPr>
          <w:rFonts w:ascii="Book Antiqua" w:eastAsia="Times New Roman" w:hAnsi="Book Antiqua" w:cs="Times New Roman"/>
          <w:sz w:val="24"/>
          <w:szCs w:val="24"/>
        </w:rPr>
        <w:t>Furthermore, the study also shows that employees' perceptions of the usefulness of the Sedekah Sampah digital-based CSR program significantly impact their work meaning. With a path coefficient of 0.406, a t-statistic of 3.598, and a p-value of 0.000, these findings confirm that when employees perceive that the CSR program provides tangible contributions in social, environmental, and personal aspects, they tend to perceive their work as more valuable. Perceived usefulness is measured through four main indicators: environmental benefits, social contributions, personal benefits perceived by employees, and the extent to which the CSR program aligns with their personal values ​​(Farooq et al., 2016). These findings reinforce the findings of Lysova et al. (2019) who stated that perceived work benefits are closely related to increased work meaning and a more positive psychological state. In this context, even though the CSR program is implemented digitally, the perception of its usefulness can still strengthen employees' work meaning. This shows that the media for implementing CSR is not the main factor, but rather how the values ​​and impacts of the CSR program can be communicated clearly and felt by employees.</w:t>
      </w:r>
    </w:p>
    <w:p w14:paraId="7129CA44" w14:textId="77777777" w:rsidR="00935A03" w:rsidRPr="00935A03" w:rsidRDefault="00935A03" w:rsidP="001779AD">
      <w:pPr>
        <w:spacing w:after="0" w:line="240" w:lineRule="auto"/>
        <w:ind w:firstLine="567"/>
        <w:jc w:val="both"/>
        <w:rPr>
          <w:rFonts w:ascii="Book Antiqua" w:eastAsia="Times New Roman" w:hAnsi="Book Antiqua" w:cs="Times New Roman"/>
          <w:sz w:val="24"/>
          <w:szCs w:val="24"/>
        </w:rPr>
      </w:pPr>
      <w:r w:rsidRPr="00935A03">
        <w:rPr>
          <w:rFonts w:ascii="Book Antiqua" w:eastAsia="Times New Roman" w:hAnsi="Book Antiqua" w:cs="Times New Roman"/>
          <w:sz w:val="24"/>
          <w:szCs w:val="24"/>
        </w:rPr>
        <w:t>Work meaning was also found to have a significant influence on employee retention. A path coefficient of 0.293, a t-statistic of 3.052, and a p-value of 0.002 indicate that the higher employees' perceptions of the meaning of their work, the stronger their intention to remain with the organization. This study found that high work meaning increases employee loyalty and reduces their desire to leave the company. This is consistent with the research findings of Bilgihan and Nejad (2023), which showed that positive work meaning contributes to employee engagement and loyalty. Ramadhani (2021) also stated that employees who perceive their work as meaningful tend to have lower intentions to leave the organization. Therefore, companies that are able to create meaningful work for their employees, through various initiatives such as CSR that connect work to larger social goals, can strengthen employee retention, especially among the younger generation.</w:t>
      </w:r>
    </w:p>
    <w:p w14:paraId="6B4183FF" w14:textId="77777777" w:rsidR="00935A03" w:rsidRPr="00935A03" w:rsidRDefault="00935A03" w:rsidP="001779AD">
      <w:pPr>
        <w:spacing w:after="0" w:line="240" w:lineRule="auto"/>
        <w:ind w:firstLine="567"/>
        <w:jc w:val="both"/>
        <w:rPr>
          <w:rFonts w:ascii="Book Antiqua" w:eastAsia="Times New Roman" w:hAnsi="Book Antiqua" w:cs="Times New Roman"/>
          <w:sz w:val="24"/>
          <w:szCs w:val="24"/>
        </w:rPr>
      </w:pPr>
      <w:r w:rsidRPr="00935A03">
        <w:rPr>
          <w:rFonts w:ascii="Book Antiqua" w:eastAsia="Times New Roman" w:hAnsi="Book Antiqua" w:cs="Times New Roman"/>
          <w:sz w:val="24"/>
          <w:szCs w:val="24"/>
        </w:rPr>
        <w:t>Employee involvement in CSR programs has also been shown to have a direct impact on retention. These findings indicate that the higher the level of employee involvement in CSR programs, the greater their likelihood of remaining with the company. With a path coefficient of 0.312, a t-statistic of 3.777, and a p-value of 0.000, these results support the findings of Ali and Zhang (2022), who stated that involvement in CSR creates a positive emotional connection between employees and the organization, which in turn increases their desire to stay. Puspitasari (2020) also added that involvement in CSR activities increases pride and loyalty, which contribute to the decision to remain with the company. In today's digital era, the success of CSR in increasing employee retention depends not only on physical interactions but also on the effectiveness of communication and the social impact generated through digital platforms.</w:t>
      </w:r>
    </w:p>
    <w:p w14:paraId="4B71B0C4" w14:textId="77777777" w:rsidR="00935A03" w:rsidRPr="00935A03" w:rsidRDefault="00935A03" w:rsidP="001779AD">
      <w:pPr>
        <w:spacing w:after="0" w:line="240" w:lineRule="auto"/>
        <w:ind w:firstLine="567"/>
        <w:jc w:val="both"/>
        <w:rPr>
          <w:rFonts w:ascii="Book Antiqua" w:eastAsia="Times New Roman" w:hAnsi="Book Antiqua" w:cs="Times New Roman"/>
          <w:sz w:val="24"/>
          <w:szCs w:val="24"/>
        </w:rPr>
      </w:pPr>
      <w:r w:rsidRPr="00935A03">
        <w:rPr>
          <w:rFonts w:ascii="Book Antiqua" w:eastAsia="Times New Roman" w:hAnsi="Book Antiqua" w:cs="Times New Roman"/>
          <w:sz w:val="24"/>
          <w:szCs w:val="24"/>
        </w:rPr>
        <w:t>This study also found an indirect effect of employee engagement on retention through work meaning as a mediator. These mediation results indicate that work meaning strengthens the relationship between CSR engagement and retention. This finding supports the research of Singh and Pradhan (2024) which shows that involvement in CSR programs can build strong work meaning, which in turn strengthens employee loyalty and retention. Work meaning serves as a psychological mechanism linking employee engagement in CSR programs with their decision to remain with the organization (Steger et al., 2012; Tasoulis et al., 2025). In other words, CSR engagement that results in strong work meaning will contribute to employees' decisions to remain with the company long-term.</w:t>
      </w:r>
    </w:p>
    <w:p w14:paraId="63973507" w14:textId="77777777" w:rsidR="00935A03" w:rsidRPr="00935A03" w:rsidRDefault="00935A03" w:rsidP="001779AD">
      <w:pPr>
        <w:spacing w:after="0" w:line="240" w:lineRule="auto"/>
        <w:ind w:firstLine="567"/>
        <w:jc w:val="both"/>
        <w:rPr>
          <w:rFonts w:ascii="Book Antiqua" w:eastAsia="Times New Roman" w:hAnsi="Book Antiqua" w:cs="Times New Roman"/>
          <w:sz w:val="24"/>
          <w:szCs w:val="24"/>
        </w:rPr>
      </w:pPr>
      <w:r w:rsidRPr="00935A03">
        <w:rPr>
          <w:rFonts w:ascii="Book Antiqua" w:eastAsia="Times New Roman" w:hAnsi="Book Antiqua" w:cs="Times New Roman"/>
          <w:sz w:val="24"/>
          <w:szCs w:val="24"/>
        </w:rPr>
        <w:t>Finally, the mediation analysis also showed that the perceived usefulness of CSR programs had an indirect effect on employee retention through work meaning. With a mediation effect value of 0.119, a t-statistic of 2.024, and a p-value of 0.043, these findings indicate that work meaning plays a significant role in linking perceived usefulness of CSR with employees' decisions to remain with the company. This is in line with research by Alshammari et al. (2019) which emphasized that positive perceptions of CSR can form a strong emotional bond between employees and the organization by increasing work meaning. Glavas and Piderit (2009) also argued that perceived usefulness of CSR can increase work meaning, which in turn strengthens employee loyalty to the company.</w:t>
      </w:r>
    </w:p>
    <w:p w14:paraId="3ADA47FA" w14:textId="77777777" w:rsidR="0031121E" w:rsidRPr="00D654F7" w:rsidRDefault="00935A03" w:rsidP="001779AD">
      <w:pPr>
        <w:spacing w:after="0" w:line="240" w:lineRule="auto"/>
        <w:ind w:firstLine="567"/>
        <w:jc w:val="both"/>
        <w:rPr>
          <w:rFonts w:ascii="Book Antiqua" w:eastAsia="Times New Roman" w:hAnsi="Book Antiqua" w:cs="Times New Roman"/>
          <w:sz w:val="24"/>
          <w:szCs w:val="24"/>
        </w:rPr>
      </w:pPr>
      <w:r w:rsidRPr="00935A03">
        <w:rPr>
          <w:rFonts w:ascii="Book Antiqua" w:eastAsia="Times New Roman" w:hAnsi="Book Antiqua" w:cs="Times New Roman"/>
          <w:sz w:val="24"/>
          <w:szCs w:val="24"/>
        </w:rPr>
        <w:t>Practically, companies need to ensure that their CSR programs are not merely formalities but also deliver tangible impacts that are felt by employees. In a digital context, companies must effectively communicate the impact of CSR programs through various internal communication channels, including inspiring stories, beneficiary testimonials, and regular reports that highlight the social outcomes achieved. This approach will strengthen the perception of the CSR program's usefulness, which in turn will enhance employee work meaning and support long-term retention.</w:t>
      </w:r>
    </w:p>
    <w:p w14:paraId="63081404" w14:textId="77777777" w:rsidR="0031121E" w:rsidRPr="00D654F7" w:rsidRDefault="0031121E" w:rsidP="001779AD">
      <w:pPr>
        <w:spacing w:after="0" w:line="240" w:lineRule="auto"/>
        <w:jc w:val="both"/>
        <w:rPr>
          <w:rFonts w:ascii="Book Antiqua" w:eastAsia="Times New Roman" w:hAnsi="Book Antiqua" w:cs="Times New Roman"/>
          <w:b/>
          <w:bCs/>
          <w:sz w:val="24"/>
          <w:szCs w:val="24"/>
        </w:rPr>
      </w:pPr>
    </w:p>
    <w:p w14:paraId="47F4C142" w14:textId="77777777" w:rsidR="0031121E" w:rsidRPr="00D52B6B" w:rsidRDefault="00B6131C" w:rsidP="001779AD">
      <w:pPr>
        <w:spacing w:after="0" w:line="240" w:lineRule="auto"/>
        <w:jc w:val="both"/>
        <w:rPr>
          <w:rFonts w:ascii="Book Antiqua" w:eastAsia="Times New Roman" w:hAnsi="Book Antiqua" w:cs="Times New Roman"/>
          <w:b/>
          <w:bCs/>
          <w:sz w:val="24"/>
          <w:szCs w:val="24"/>
        </w:rPr>
      </w:pPr>
      <w:sdt>
        <w:sdtPr>
          <w:rPr>
            <w:rFonts w:ascii="Book Antiqua" w:hAnsi="Book Antiqua" w:cs="Times New Roman"/>
            <w:b/>
            <w:sz w:val="24"/>
            <w:szCs w:val="24"/>
            <w:highlight w:val="yellow"/>
          </w:rPr>
          <w:tag w:val="goog_rdk_22"/>
          <w:id w:val="-156468958"/>
        </w:sdtPr>
        <w:sdtEndPr/>
        <w:sdtContent/>
      </w:sdt>
      <w:sdt>
        <w:sdtPr>
          <w:rPr>
            <w:rFonts w:ascii="Book Antiqua" w:hAnsi="Book Antiqua" w:cs="Times New Roman"/>
            <w:b/>
            <w:sz w:val="24"/>
            <w:szCs w:val="24"/>
            <w:highlight w:val="yellow"/>
          </w:rPr>
          <w:tag w:val="goog_rdk_23"/>
          <w:id w:val="-1443815921"/>
        </w:sdtPr>
        <w:sdtEndPr/>
        <w:sdtContent/>
      </w:sdt>
      <w:r w:rsidR="00B9221C" w:rsidRPr="00D52B6B">
        <w:rPr>
          <w:rFonts w:ascii="Book Antiqua" w:eastAsia="Times New Roman" w:hAnsi="Book Antiqua" w:cs="Times New Roman"/>
          <w:b/>
          <w:bCs/>
          <w:sz w:val="24"/>
          <w:szCs w:val="24"/>
        </w:rPr>
        <w:t>CONCLUSION</w:t>
      </w:r>
    </w:p>
    <w:p w14:paraId="13A6D8B8" w14:textId="77777777" w:rsidR="00C541E8" w:rsidRPr="00D654F7" w:rsidRDefault="00C541E8" w:rsidP="001779AD">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This study concludes that employee retention at PT Indocement Tunggal Prakarsa, Tbk. is significantly influenced by involvement in the digital-based CSR program Sedekah Sampah (Trash Charity), perceptions of the program's benefits, and the level of meaningfulness felt by employees at work. These three variables not only show a direct influence on employee retention but are also interconnected through a mediative relationship, where the meaning of work acts as a psychological pathway that strengthens the impact of CSR on loyalty. These findings suggest that active involvement and positive perceptions of the benefits of CSR programs can shape deep work meaning, which ultimately increases employee engagement with the company.</w:t>
      </w:r>
    </w:p>
    <w:p w14:paraId="02D4D939" w14:textId="77777777" w:rsidR="00C541E8" w:rsidRPr="00D654F7" w:rsidRDefault="00C541E8" w:rsidP="001779AD">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In general, the results of this study confirm that CSR programs designed with a participatory, values-based approach and delivered through digital media, such as Sedekah Sampah (Trash Charity), can be an effective internal strategy to strengthen the emotional connection between the organization and employees. When employees feel that their contributions to the company's social programs have a real impact and align with their personal values, the meaning of their work increases, which in turn impacts long-term loyalty. For large industrial companies like Indocement, integrated CSR management with HR strategies will be increasingly important, especially in addressing the needs of the younger workforce, such as Gen Z, who highly value values, transparency, and social contributions in the workplace.</w:t>
      </w:r>
    </w:p>
    <w:p w14:paraId="3A9E1309" w14:textId="77777777" w:rsidR="00C541E8" w:rsidRPr="00D654F7" w:rsidRDefault="00C541E8" w:rsidP="001779AD">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However, this study has limitations because it was conducted in only one company and focused on one type of CSR program. Therefore, the generalizability of the results to other industrial or organizational contexts remains limited. To broaden our understanding, future research is recommended to involve companies from various industrial sectors and include respondents with more diverse demographic backgrounds. Furthermore, adding other variables such as job satisfaction, trust in the organization, or leadership style could also enrich the conceptual model and provide more comprehensive insights.</w:t>
      </w:r>
    </w:p>
    <w:p w14:paraId="5D4D0401" w14:textId="77777777" w:rsidR="0031121E" w:rsidRDefault="00C541E8" w:rsidP="001779AD">
      <w:pPr>
        <w:spacing w:after="0" w:line="240" w:lineRule="auto"/>
        <w:ind w:firstLine="567"/>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The use of a longitudinal approach or qualitative methods is also recommended to explore how perceptions of CSR and the meaning of work evolve over time. This approach can provide a deeper and more contextual understanding of the dynamics of employee engagement with the organization over the long term, as well as the ongoing role of CSR in shaping employee values, attitudes, and loyalty.</w:t>
      </w:r>
    </w:p>
    <w:p w14:paraId="6E9F92FF" w14:textId="77777777" w:rsidR="001779AD" w:rsidRPr="00D654F7" w:rsidRDefault="001779AD" w:rsidP="001779AD">
      <w:pPr>
        <w:spacing w:after="0" w:line="240" w:lineRule="auto"/>
        <w:ind w:firstLine="567"/>
        <w:jc w:val="both"/>
        <w:rPr>
          <w:rFonts w:ascii="Book Antiqua" w:eastAsia="Times New Roman" w:hAnsi="Book Antiqua" w:cs="Times New Roman"/>
          <w:b/>
          <w:bCs/>
          <w:sz w:val="24"/>
          <w:szCs w:val="24"/>
        </w:rPr>
      </w:pPr>
    </w:p>
    <w:p w14:paraId="7AD72B68" w14:textId="77777777" w:rsidR="0031121E" w:rsidRPr="00D654F7" w:rsidRDefault="00B9221C" w:rsidP="001779AD">
      <w:pPr>
        <w:spacing w:after="0" w:line="240" w:lineRule="auto"/>
        <w:jc w:val="both"/>
        <w:rPr>
          <w:rFonts w:ascii="Book Antiqua" w:eastAsia="Times New Roman" w:hAnsi="Book Antiqua" w:cs="Times New Roman"/>
          <w:b/>
          <w:bCs/>
          <w:color w:val="000000"/>
          <w:sz w:val="24"/>
          <w:szCs w:val="24"/>
        </w:rPr>
      </w:pPr>
      <w:r w:rsidRPr="00D654F7">
        <w:rPr>
          <w:rFonts w:ascii="Book Antiqua" w:eastAsia="Times New Roman" w:hAnsi="Book Antiqua" w:cs="Times New Roman"/>
          <w:b/>
          <w:bCs/>
          <w:color w:val="000000"/>
          <w:sz w:val="24"/>
          <w:szCs w:val="24"/>
        </w:rPr>
        <w:t>BIBLIOGRAPHY</w:t>
      </w:r>
    </w:p>
    <w:p w14:paraId="2BA92ED7"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color w:val="1155CC"/>
          <w:sz w:val="24"/>
          <w:szCs w:val="24"/>
          <w:u w:val="single"/>
        </w:rPr>
      </w:pPr>
      <w:r w:rsidRPr="00D654F7">
        <w:rPr>
          <w:rFonts w:ascii="Book Antiqua" w:eastAsia="Times New Roman" w:hAnsi="Book Antiqua" w:cs="Times New Roman"/>
          <w:sz w:val="24"/>
          <w:szCs w:val="24"/>
        </w:rPr>
        <w:t>Ali, A., &amp; Zhang, Y. (2022). Employee perceptions of CSR and its impact on meaningful work and job satisfaction. Journal of Business Ethics, 178(2), 425–442.</w:t>
      </w:r>
      <w:hyperlink r:id="rId13">
        <w:r w:rsidRPr="00D654F7">
          <w:rPr>
            <w:rFonts w:ascii="Book Antiqua" w:eastAsia="Times New Roman" w:hAnsi="Book Antiqua" w:cs="Times New Roman"/>
            <w:sz w:val="24"/>
            <w:szCs w:val="24"/>
          </w:rPr>
          <w:t xml:space="preserve"> </w:t>
        </w:r>
      </w:hyperlink>
      <w:hyperlink r:id="rId14">
        <w:r w:rsidRPr="00D654F7">
          <w:rPr>
            <w:rFonts w:ascii="Book Antiqua" w:eastAsia="Times New Roman" w:hAnsi="Book Antiqua" w:cs="Times New Roman"/>
            <w:color w:val="1155CC"/>
            <w:sz w:val="24"/>
            <w:szCs w:val="24"/>
            <w:u w:val="single"/>
          </w:rPr>
          <w:t>https://doi.org/10.1007/s10551-021-04976-2</w:t>
        </w:r>
      </w:hyperlink>
    </w:p>
    <w:p w14:paraId="1476C3E7" w14:textId="77777777" w:rsidR="0031121E" w:rsidRPr="00D654F7" w:rsidRDefault="00B9221C" w:rsidP="001779AD">
      <w:pPr>
        <w:spacing w:after="0" w:line="240" w:lineRule="auto"/>
        <w:ind w:left="630" w:hanging="630"/>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Allan, B.A., Autin, K.L., &amp; Duffy, R.D. (2016). Self-determination and meaningful work: Exploring socio-contextual and individual determinants. The Counseling Psychologist, 44(5), 585–607.</w:t>
      </w:r>
      <w:hyperlink r:id="rId15">
        <w:r w:rsidRPr="00D654F7">
          <w:rPr>
            <w:rFonts w:ascii="Book Antiqua" w:eastAsia="Times New Roman" w:hAnsi="Book Antiqua" w:cs="Times New Roman"/>
            <w:color w:val="1155CC"/>
            <w:sz w:val="24"/>
            <w:szCs w:val="24"/>
            <w:shd w:val="clear" w:color="auto" w:fill="F7F7F7"/>
          </w:rPr>
          <w:t>https://doi.org/10.3389/fpsyg.2016.00071</w:t>
        </w:r>
      </w:hyperlink>
    </w:p>
    <w:p w14:paraId="2B462792" w14:textId="77777777" w:rsidR="0031121E" w:rsidRPr="00D654F7" w:rsidRDefault="00B9221C" w:rsidP="001779AD">
      <w:pPr>
        <w:spacing w:after="0" w:line="240" w:lineRule="auto"/>
        <w:ind w:left="630" w:hanging="630"/>
        <w:jc w:val="both"/>
        <w:rPr>
          <w:rFonts w:ascii="Book Antiqua" w:eastAsia="Times New Roman" w:hAnsi="Book Antiqua" w:cs="Times New Roman"/>
          <w:color w:val="1155CC"/>
          <w:sz w:val="24"/>
          <w:szCs w:val="24"/>
          <w:u w:val="single"/>
        </w:rPr>
      </w:pPr>
      <w:r w:rsidRPr="00D654F7">
        <w:rPr>
          <w:rFonts w:ascii="Book Antiqua" w:eastAsia="Times New Roman" w:hAnsi="Book Antiqua" w:cs="Times New Roman"/>
          <w:sz w:val="24"/>
          <w:szCs w:val="24"/>
        </w:rPr>
        <w:t>Alshammari, H., Rasheed, A. A., &amp; Al-Shammari, H. (2019). CEO narcissism and corporate social responsibility: Does CEO narcissism affect CSR focus? Journal of Business Research, 104, 1–13.</w:t>
      </w:r>
      <w:hyperlink r:id="rId16">
        <w:r w:rsidRPr="00D654F7">
          <w:rPr>
            <w:rFonts w:ascii="Book Antiqua" w:eastAsia="Times New Roman" w:hAnsi="Book Antiqua" w:cs="Times New Roman"/>
            <w:color w:val="1155CC"/>
            <w:sz w:val="24"/>
            <w:szCs w:val="24"/>
            <w:u w:val="single"/>
          </w:rPr>
          <w:t>https://doi.org/10.1016/j.jbusres.2019.06.031</w:t>
        </w:r>
      </w:hyperlink>
      <w:r w:rsidRPr="00D654F7">
        <w:rPr>
          <w:rFonts w:ascii="Book Antiqua" w:eastAsia="Times New Roman" w:hAnsi="Book Antiqua" w:cs="Times New Roman"/>
          <w:sz w:val="24"/>
          <w:szCs w:val="24"/>
        </w:rPr>
        <w:t xml:space="preserve"> </w:t>
      </w:r>
    </w:p>
    <w:p w14:paraId="3D68DDC9"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Amalia, S. (2021). The effect of corporate social responsibility on employee loyalty with job satisfaction as a mediating variable. Journal of Social Sciences and Humanities, 10(2), 112–121.</w:t>
      </w:r>
    </w:p>
    <w:p w14:paraId="7B114860"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color w:val="1155CC"/>
          <w:sz w:val="24"/>
          <w:szCs w:val="24"/>
          <w:u w:val="single"/>
        </w:rPr>
      </w:pPr>
      <w:r w:rsidRPr="00D654F7">
        <w:rPr>
          <w:rFonts w:ascii="Book Antiqua" w:eastAsia="Times New Roman" w:hAnsi="Book Antiqua" w:cs="Times New Roman"/>
          <w:sz w:val="24"/>
          <w:szCs w:val="24"/>
        </w:rPr>
        <w:t>Bilgihan, A., &amp; Nejad, M. (2023). The moderating role of meaningful work in employee retention. International Journal of Hospitality Management, 107, 103374.</w:t>
      </w:r>
      <w:hyperlink r:id="rId17">
        <w:r w:rsidRPr="00D654F7">
          <w:rPr>
            <w:rFonts w:ascii="Book Antiqua" w:eastAsia="Times New Roman" w:hAnsi="Book Antiqua" w:cs="Times New Roman"/>
            <w:sz w:val="24"/>
            <w:szCs w:val="24"/>
          </w:rPr>
          <w:t xml:space="preserve"> </w:t>
        </w:r>
      </w:hyperlink>
      <w:hyperlink r:id="rId18">
        <w:r w:rsidRPr="00D654F7">
          <w:rPr>
            <w:rFonts w:ascii="Book Antiqua" w:eastAsia="Times New Roman" w:hAnsi="Book Antiqua" w:cs="Times New Roman"/>
            <w:color w:val="1155CC"/>
            <w:sz w:val="24"/>
            <w:szCs w:val="24"/>
            <w:u w:val="single"/>
          </w:rPr>
          <w:t>https://doi.org/10.1016/j.ijhm.2022.103374</w:t>
        </w:r>
      </w:hyperlink>
    </w:p>
    <w:p w14:paraId="61127B57"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De Roeck, K., &amp; Farooq, O. (2018). Corporate social responsibility and ethical leadership: Investigating their interactive effects on employees' socially responsible behavior. Journal of Business Ethics, 151(4), 923–939.</w:t>
      </w:r>
      <w:hyperlink r:id="rId19">
        <w:r w:rsidRPr="00D654F7">
          <w:rPr>
            <w:rFonts w:ascii="Book Antiqua" w:eastAsia="Times New Roman" w:hAnsi="Book Antiqua" w:cs="Times New Roman"/>
            <w:sz w:val="24"/>
            <w:szCs w:val="24"/>
          </w:rPr>
          <w:t xml:space="preserve"> </w:t>
        </w:r>
      </w:hyperlink>
      <w:hyperlink r:id="rId20">
        <w:r w:rsidRPr="00D654F7">
          <w:rPr>
            <w:rFonts w:ascii="Book Antiqua" w:eastAsia="Times New Roman" w:hAnsi="Book Antiqua" w:cs="Times New Roman"/>
            <w:color w:val="1155CC"/>
            <w:sz w:val="24"/>
            <w:szCs w:val="24"/>
            <w:u w:val="single"/>
          </w:rPr>
          <w:t>https://doi.org/10.1007/s10551-017-3656-6</w:t>
        </w:r>
      </w:hyperlink>
    </w:p>
    <w:p w14:paraId="1D12AB2C"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Duthler, G., &amp; Dhanesh, G.S. (2018). The role of corporate social responsibility (CSR) in internal employee communication. Public Relations Review, 44(4), 474–482.</w:t>
      </w:r>
      <w:hyperlink r:id="rId21">
        <w:r w:rsidRPr="00D654F7">
          <w:rPr>
            <w:rFonts w:ascii="Book Antiqua" w:eastAsia="Times New Roman" w:hAnsi="Book Antiqua" w:cs="Times New Roman"/>
            <w:color w:val="1155CC"/>
            <w:sz w:val="24"/>
            <w:szCs w:val="24"/>
            <w:u w:val="single"/>
          </w:rPr>
          <w:t>https://doi.org/10.1016/j.pubrev.2018.07.002</w:t>
        </w:r>
      </w:hyperlink>
    </w:p>
    <w:p w14:paraId="703D8668"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Elkington, J. (1997). Cannibals with forks: The triple bottom line of 21st century business. Capstone Publishing.</w:t>
      </w:r>
    </w:p>
    <w:p w14:paraId="035A324E"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Fakhira, N.V. (2024). Proposed employer branding with corporate social responsibility approach to improve employee engagement. Bandung Institute of Technology.</w:t>
      </w:r>
      <w:hyperlink r:id="rId22">
        <w:r w:rsidRPr="00D654F7">
          <w:rPr>
            <w:rFonts w:ascii="Book Antiqua" w:eastAsia="Times New Roman" w:hAnsi="Book Antiqua" w:cs="Times New Roman"/>
            <w:sz w:val="24"/>
            <w:szCs w:val="24"/>
          </w:rPr>
          <w:t xml:space="preserve"> </w:t>
        </w:r>
      </w:hyperlink>
      <w:hyperlink r:id="rId23">
        <w:r w:rsidRPr="00D654F7">
          <w:rPr>
            <w:rFonts w:ascii="Book Antiqua" w:eastAsia="Times New Roman" w:hAnsi="Book Antiqua" w:cs="Times New Roman"/>
            <w:color w:val="1155CC"/>
            <w:sz w:val="24"/>
            <w:szCs w:val="24"/>
            <w:u w:val="single"/>
          </w:rPr>
          <w:t>https://digilib.itb.ac.id/assets/files/2024/TmFiaWxsYSBWeW5rYSBGYWtoaXJhIF8yOTEyMjM1OS5wZGY.pdf</w:t>
        </w:r>
      </w:hyperlink>
    </w:p>
    <w:p w14:paraId="36488AD1"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color w:val="1155CC"/>
          <w:sz w:val="24"/>
          <w:szCs w:val="24"/>
          <w:u w:val="single"/>
        </w:rPr>
      </w:pPr>
      <w:r w:rsidRPr="00D654F7">
        <w:rPr>
          <w:rFonts w:ascii="Book Antiqua" w:eastAsia="Times New Roman" w:hAnsi="Book Antiqua" w:cs="Times New Roman"/>
          <w:sz w:val="24"/>
          <w:szCs w:val="24"/>
        </w:rPr>
        <w:t>Farooq, M., Rupp, D. E., &amp; Farooq, O. (2016). The multiple pathways through which internal and external corporate social responsibility influence organizational identification and turnover intentions. Journal of Business Ethics, 170(3), 501–520.</w:t>
      </w:r>
      <w:hyperlink r:id="rId24">
        <w:r w:rsidRPr="00D654F7">
          <w:rPr>
            <w:rFonts w:ascii="Book Antiqua" w:eastAsia="Times New Roman" w:hAnsi="Book Antiqua" w:cs="Times New Roman"/>
            <w:sz w:val="24"/>
            <w:szCs w:val="24"/>
          </w:rPr>
          <w:t xml:space="preserve"> </w:t>
        </w:r>
      </w:hyperlink>
      <w:hyperlink r:id="rId25">
        <w:r w:rsidRPr="00D654F7">
          <w:rPr>
            <w:rFonts w:ascii="Book Antiqua" w:eastAsia="Times New Roman" w:hAnsi="Book Antiqua" w:cs="Times New Roman"/>
            <w:color w:val="1155CC"/>
            <w:sz w:val="24"/>
            <w:szCs w:val="24"/>
            <w:highlight w:val="white"/>
          </w:rPr>
          <w:t>https://doi.org/10.5465/amj.2014.0849</w:t>
        </w:r>
      </w:hyperlink>
      <w:r w:rsidRPr="00D654F7">
        <w:rPr>
          <w:rFonts w:ascii="Book Antiqua" w:eastAsia="Times New Roman" w:hAnsi="Book Antiqua" w:cs="Times New Roman"/>
          <w:color w:val="1155CC"/>
          <w:sz w:val="24"/>
          <w:szCs w:val="24"/>
          <w:u w:val="single"/>
        </w:rPr>
        <w:t xml:space="preserve"> </w:t>
      </w:r>
    </w:p>
    <w:p w14:paraId="18023B69"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Fitriani, D. (2020). The influence of employee perceptions of company CSR programs on employee loyalty and work engagement. Scientific Journal of Economics and Business, 17(2), 89–97.</w:t>
      </w:r>
    </w:p>
    <w:p w14:paraId="28ADE990"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color w:val="1155CC"/>
          <w:sz w:val="24"/>
          <w:szCs w:val="24"/>
          <w:u w:val="single"/>
        </w:rPr>
      </w:pPr>
      <w:r w:rsidRPr="00D654F7">
        <w:rPr>
          <w:rFonts w:ascii="Book Antiqua" w:eastAsia="Times New Roman" w:hAnsi="Book Antiqua" w:cs="Times New Roman"/>
          <w:sz w:val="24"/>
          <w:szCs w:val="24"/>
        </w:rPr>
        <w:t>Glavas, A. (2016). Corporate social responsibility and organizational psychology: An integrative review. Frontiers in Psychology, 7, 144.</w:t>
      </w:r>
      <w:hyperlink r:id="rId26">
        <w:r w:rsidRPr="00D654F7">
          <w:rPr>
            <w:rFonts w:ascii="Book Antiqua" w:eastAsia="Times New Roman" w:hAnsi="Book Antiqua" w:cs="Times New Roman"/>
            <w:sz w:val="24"/>
            <w:szCs w:val="24"/>
          </w:rPr>
          <w:t xml:space="preserve"> </w:t>
        </w:r>
      </w:hyperlink>
      <w:hyperlink r:id="rId27">
        <w:r w:rsidRPr="00D654F7">
          <w:rPr>
            <w:rFonts w:ascii="Book Antiqua" w:eastAsia="Times New Roman" w:hAnsi="Book Antiqua" w:cs="Times New Roman"/>
            <w:color w:val="1155CC"/>
            <w:sz w:val="24"/>
            <w:szCs w:val="24"/>
            <w:u w:val="single"/>
          </w:rPr>
          <w:t>https://doi.org/10.3389/fpsyg.2016.00144</w:t>
        </w:r>
      </w:hyperlink>
    </w:p>
    <w:p w14:paraId="32E5F88E" w14:textId="77777777" w:rsidR="0031121E" w:rsidRPr="00D654F7" w:rsidRDefault="00B9221C" w:rsidP="001779AD">
      <w:pPr>
        <w:spacing w:after="0" w:line="240" w:lineRule="auto"/>
        <w:ind w:left="630" w:hanging="630"/>
        <w:jc w:val="both"/>
        <w:rPr>
          <w:rFonts w:ascii="Book Antiqua" w:eastAsia="Times New Roman" w:hAnsi="Book Antiqua" w:cs="Times New Roman"/>
          <w:color w:val="1155CC"/>
          <w:sz w:val="24"/>
          <w:szCs w:val="24"/>
          <w:u w:val="single"/>
        </w:rPr>
      </w:pPr>
      <w:r w:rsidRPr="00D654F7">
        <w:rPr>
          <w:rFonts w:ascii="Book Antiqua" w:eastAsia="Times New Roman" w:hAnsi="Book Antiqua" w:cs="Times New Roman"/>
          <w:sz w:val="24"/>
          <w:szCs w:val="24"/>
        </w:rPr>
        <w:t>Glavas, A., &amp; Piderit, S. K. (2009). How does doing good matter? Effects of corporate citizenship on employees. Journal of Corporate Citizenship, 36, 51–70.</w:t>
      </w:r>
      <w:hyperlink r:id="rId28">
        <w:r w:rsidRPr="00D654F7">
          <w:rPr>
            <w:rFonts w:ascii="Book Antiqua" w:eastAsia="Times New Roman" w:hAnsi="Book Antiqua" w:cs="Times New Roman"/>
            <w:color w:val="1155CC"/>
            <w:sz w:val="24"/>
            <w:szCs w:val="24"/>
            <w:u w:val="single"/>
          </w:rPr>
          <w:t>http://rave.ohiolink.edu/etdc/view?acc_num=case1247063961</w:t>
        </w:r>
      </w:hyperlink>
      <w:r w:rsidRPr="00D654F7">
        <w:rPr>
          <w:rFonts w:ascii="Book Antiqua" w:eastAsia="Times New Roman" w:hAnsi="Book Antiqua" w:cs="Times New Roman"/>
          <w:sz w:val="24"/>
          <w:szCs w:val="24"/>
        </w:rPr>
        <w:t xml:space="preserve"> </w:t>
      </w:r>
    </w:p>
    <w:p w14:paraId="3B7D1EC0"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color w:val="1155CC"/>
          <w:sz w:val="24"/>
          <w:szCs w:val="24"/>
          <w:u w:val="single"/>
        </w:rPr>
      </w:pPr>
      <w:r w:rsidRPr="00D654F7">
        <w:rPr>
          <w:rFonts w:ascii="Book Antiqua" w:eastAsia="Times New Roman" w:hAnsi="Book Antiqua" w:cs="Times New Roman"/>
          <w:sz w:val="24"/>
          <w:szCs w:val="24"/>
        </w:rPr>
        <w:t>Grant, A. M. (2008). Finding meaning in work: A developmental perspective. In J. Duffy &amp; B. Dik (Eds.), Purpose and meaning in the workplace (pp. 317–341). American Psychological Association.</w:t>
      </w:r>
      <w:hyperlink r:id="rId29">
        <w:r w:rsidRPr="00D654F7">
          <w:rPr>
            <w:rFonts w:ascii="Book Antiqua" w:eastAsia="Times New Roman" w:hAnsi="Book Antiqua" w:cs="Times New Roman"/>
            <w:sz w:val="24"/>
            <w:szCs w:val="24"/>
          </w:rPr>
          <w:t xml:space="preserve"> </w:t>
        </w:r>
      </w:hyperlink>
      <w:hyperlink r:id="rId30">
        <w:r w:rsidRPr="00D654F7">
          <w:rPr>
            <w:rFonts w:ascii="Book Antiqua" w:eastAsia="Times New Roman" w:hAnsi="Book Antiqua" w:cs="Times New Roman"/>
            <w:color w:val="1155CC"/>
            <w:sz w:val="24"/>
            <w:szCs w:val="24"/>
            <w:u w:val="single"/>
          </w:rPr>
          <w:t>https://doi.org/10.1037/11701-014</w:t>
        </w:r>
      </w:hyperlink>
    </w:p>
    <w:p w14:paraId="4A118A4F"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color w:val="1155CC"/>
          <w:sz w:val="24"/>
          <w:szCs w:val="24"/>
          <w:u w:val="single"/>
        </w:rPr>
      </w:pPr>
      <w:r w:rsidRPr="00D654F7">
        <w:rPr>
          <w:rFonts w:ascii="Book Antiqua" w:eastAsia="Times New Roman" w:hAnsi="Book Antiqua" w:cs="Times New Roman"/>
          <w:sz w:val="24"/>
          <w:szCs w:val="24"/>
        </w:rPr>
        <w:t>Gupta, M., Singh, V., &amp; Bhandari, R. (2021). Role of CSR in meaningful work and employee retention. Journal of Business Research, 134, 652–664.</w:t>
      </w:r>
      <w:hyperlink r:id="rId31">
        <w:r w:rsidRPr="00D654F7">
          <w:rPr>
            <w:rFonts w:ascii="Book Antiqua" w:eastAsia="Times New Roman" w:hAnsi="Book Antiqua" w:cs="Times New Roman"/>
            <w:sz w:val="24"/>
            <w:szCs w:val="24"/>
          </w:rPr>
          <w:t xml:space="preserve"> </w:t>
        </w:r>
      </w:hyperlink>
      <w:hyperlink r:id="rId32">
        <w:r w:rsidRPr="00D654F7">
          <w:rPr>
            <w:rFonts w:ascii="Book Antiqua" w:eastAsia="Times New Roman" w:hAnsi="Book Antiqua" w:cs="Times New Roman"/>
            <w:color w:val="1155CC"/>
            <w:sz w:val="24"/>
            <w:szCs w:val="24"/>
            <w:u w:val="single"/>
          </w:rPr>
          <w:t>https://doi.org/10.1016/j.jbusres.2021.05.045</w:t>
        </w:r>
      </w:hyperlink>
    </w:p>
    <w:p w14:paraId="1DF3DB62"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Hameed, A. (2024). The impact(s) of corporate social responsibilities and ethical practices on employee performance and turnover in the textile industry of Pakistan (Doctoral dissertation, University of Wales Trinity Saint David).</w:t>
      </w:r>
      <w:hyperlink r:id="rId33">
        <w:r w:rsidRPr="00D654F7">
          <w:rPr>
            <w:rFonts w:ascii="Book Antiqua" w:eastAsia="Times New Roman" w:hAnsi="Book Antiqua" w:cs="Times New Roman"/>
            <w:sz w:val="24"/>
            <w:szCs w:val="24"/>
          </w:rPr>
          <w:t xml:space="preserve"> </w:t>
        </w:r>
      </w:hyperlink>
      <w:hyperlink r:id="rId34">
        <w:r w:rsidRPr="00D654F7">
          <w:rPr>
            <w:rFonts w:ascii="Book Antiqua" w:eastAsia="Times New Roman" w:hAnsi="Book Antiqua" w:cs="Times New Roman"/>
            <w:color w:val="1155CC"/>
            <w:sz w:val="24"/>
            <w:szCs w:val="24"/>
            <w:u w:val="single"/>
          </w:rPr>
          <w:t>https://repository.uwtsd.ac.uk/id/eprint/3649/1/Hameed_A_DBA_Thesis.pdf</w:t>
        </w:r>
      </w:hyperlink>
    </w:p>
    <w:p w14:paraId="2F33FA8C"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color w:val="1155CC"/>
          <w:sz w:val="24"/>
          <w:szCs w:val="24"/>
          <w:u w:val="single"/>
        </w:rPr>
      </w:pPr>
      <w:r w:rsidRPr="00D654F7">
        <w:rPr>
          <w:rFonts w:ascii="Book Antiqua" w:eastAsia="Times New Roman" w:hAnsi="Book Antiqua" w:cs="Times New Roman"/>
          <w:sz w:val="24"/>
          <w:szCs w:val="24"/>
        </w:rPr>
        <w:t>Hameed, Z., Basheer, M.F., &amp; Iqbal, J. (2020). CSR and digital participation: A pathway to sustainable employee engagement. Sustainability, 12(11), 4561.</w:t>
      </w:r>
      <w:hyperlink r:id="rId35">
        <w:r w:rsidRPr="00D654F7">
          <w:rPr>
            <w:rFonts w:ascii="Book Antiqua" w:eastAsia="Times New Roman" w:hAnsi="Book Antiqua" w:cs="Times New Roman"/>
            <w:sz w:val="24"/>
            <w:szCs w:val="24"/>
          </w:rPr>
          <w:t xml:space="preserve"> </w:t>
        </w:r>
      </w:hyperlink>
      <w:hyperlink r:id="rId36">
        <w:r w:rsidRPr="00D654F7">
          <w:rPr>
            <w:rFonts w:ascii="Book Antiqua" w:eastAsia="Times New Roman" w:hAnsi="Book Antiqua" w:cs="Times New Roman"/>
            <w:color w:val="1155CC"/>
            <w:sz w:val="24"/>
            <w:szCs w:val="24"/>
            <w:u w:val="single"/>
          </w:rPr>
          <w:t>https://doi.org/10.3390/su12114561</w:t>
        </w:r>
      </w:hyperlink>
    </w:p>
    <w:p w14:paraId="781F8C52"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Hair, J.F., Hult, G.T.M., Ringle, C., &amp; Sarstedt, M. (2021). A primer on partial least squares structural equation modeling (PLS-SEM) (3rd ed.). Sage Publications.</w:t>
      </w:r>
    </w:p>
    <w:p w14:paraId="6D572038"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color w:val="1155CC"/>
          <w:sz w:val="24"/>
          <w:szCs w:val="24"/>
          <w:u w:val="single"/>
        </w:rPr>
      </w:pPr>
      <w:r w:rsidRPr="00D654F7">
        <w:rPr>
          <w:rFonts w:ascii="Book Antiqua" w:eastAsia="Times New Roman" w:hAnsi="Book Antiqua" w:cs="Times New Roman"/>
          <w:sz w:val="24"/>
          <w:szCs w:val="24"/>
        </w:rPr>
        <w:t>Hörisch, J., Freeman, R.E., &amp; Schaltegger, S. (2020). Applying stakeholder theory in sustainability management: Links, similarities, dissimilarities, and a conceptual framework. Organization &amp; Environment, 33(3), 281–306.</w:t>
      </w:r>
      <w:hyperlink r:id="rId37">
        <w:r w:rsidRPr="00D654F7">
          <w:rPr>
            <w:rFonts w:ascii="Book Antiqua" w:eastAsia="Times New Roman" w:hAnsi="Book Antiqua" w:cs="Times New Roman"/>
            <w:sz w:val="24"/>
            <w:szCs w:val="24"/>
          </w:rPr>
          <w:t xml:space="preserve"> </w:t>
        </w:r>
      </w:hyperlink>
      <w:hyperlink r:id="rId38">
        <w:r w:rsidRPr="00D654F7">
          <w:rPr>
            <w:rFonts w:ascii="Book Antiqua" w:eastAsia="Times New Roman" w:hAnsi="Book Antiqua" w:cs="Times New Roman"/>
            <w:color w:val="1155CC"/>
            <w:sz w:val="24"/>
            <w:szCs w:val="24"/>
            <w:u w:val="single"/>
          </w:rPr>
          <w:t>https://doi.org/10.1177/1086026618790151</w:t>
        </w:r>
      </w:hyperlink>
    </w:p>
    <w:p w14:paraId="427BFD0E"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Kalenda, J., &amp; Vaculíková, J. (2024). Proměny účasti v dalším vzdělávání dospělých v České republice: Kdo se jej účastní as jakými šancemi? Sociologický Časopis / Czech Sociological Review.</w:t>
      </w:r>
      <w:hyperlink r:id="rId39">
        <w:r w:rsidRPr="00D654F7">
          <w:rPr>
            <w:rFonts w:ascii="Book Antiqua" w:eastAsia="Times New Roman" w:hAnsi="Book Antiqua" w:cs="Times New Roman"/>
            <w:color w:val="1155CC"/>
            <w:sz w:val="24"/>
            <w:szCs w:val="24"/>
            <w:u w:val="single"/>
          </w:rPr>
          <w:t>https://esreview.soc.cas.cz/getrevsrc.php?identification=public&amp;mag=csr&amp;raid=494&amp;type=fin&amp;ver=4</w:t>
        </w:r>
      </w:hyperlink>
    </w:p>
    <w:p w14:paraId="29A7CD8A"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Kim, H.R., Lee, M., Lee, H.T., &amp; Kim, N.M. (2010). Corporate social responsibility and employee–company identification. Journal of Business Ethics.</w:t>
      </w:r>
      <w:hyperlink r:id="rId40">
        <w:r w:rsidRPr="00D654F7">
          <w:rPr>
            <w:rFonts w:ascii="Book Antiqua" w:eastAsia="Times New Roman" w:hAnsi="Book Antiqua" w:cs="Times New Roman"/>
            <w:color w:val="1155CC"/>
            <w:sz w:val="24"/>
            <w:szCs w:val="24"/>
            <w:u w:val="single"/>
          </w:rPr>
          <w:t>https://link.springer.com/article/10.1007/s10551-010-0440-2</w:t>
        </w:r>
      </w:hyperlink>
    </w:p>
    <w:p w14:paraId="2584FD9A"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color w:val="1155CC"/>
          <w:sz w:val="24"/>
          <w:szCs w:val="24"/>
          <w:u w:val="single"/>
        </w:rPr>
      </w:pPr>
      <w:r w:rsidRPr="00D654F7">
        <w:rPr>
          <w:rFonts w:ascii="Book Antiqua" w:eastAsia="Times New Roman" w:hAnsi="Book Antiqua" w:cs="Times New Roman"/>
          <w:sz w:val="24"/>
          <w:szCs w:val="24"/>
        </w:rPr>
        <w:t>Lysova, EI, Allan, BA, Dik, BJ, Duffy, RD, &amp; Steger, MF (2019). Fostering meaningful work: A multilevel review and integration. Journal of Vocational Behavior, 110, 374–389.</w:t>
      </w:r>
      <w:hyperlink r:id="rId41">
        <w:r w:rsidRPr="00D654F7">
          <w:rPr>
            <w:rFonts w:ascii="Book Antiqua" w:eastAsia="Times New Roman" w:hAnsi="Book Antiqua" w:cs="Times New Roman"/>
            <w:sz w:val="24"/>
            <w:szCs w:val="24"/>
          </w:rPr>
          <w:t xml:space="preserve"> </w:t>
        </w:r>
      </w:hyperlink>
      <w:hyperlink r:id="rId42">
        <w:r w:rsidRPr="00D654F7">
          <w:rPr>
            <w:rFonts w:ascii="Book Antiqua" w:eastAsia="Times New Roman" w:hAnsi="Book Antiqua" w:cs="Times New Roman"/>
            <w:color w:val="1155CC"/>
            <w:sz w:val="24"/>
            <w:szCs w:val="24"/>
            <w:u w:val="single"/>
          </w:rPr>
          <w:t>https://doi.org/10.1016/j.jvb.2018.07.004</w:t>
        </w:r>
      </w:hyperlink>
    </w:p>
    <w:p w14:paraId="7A01C7F2"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color w:val="1155CC"/>
          <w:sz w:val="24"/>
          <w:szCs w:val="24"/>
          <w:u w:val="single"/>
        </w:rPr>
      </w:pPr>
      <w:r w:rsidRPr="00D654F7">
        <w:rPr>
          <w:rFonts w:ascii="Book Antiqua" w:eastAsia="Times New Roman" w:hAnsi="Book Antiqua" w:cs="Times New Roman"/>
          <w:sz w:val="24"/>
          <w:szCs w:val="24"/>
        </w:rPr>
        <w:t>Purvis, B., Mao, Y., &amp; Robinson, D. (2019). Three pillars of sustainability: In search of conceptual origins. Sustainability Science, 14(3), 681–695.</w:t>
      </w:r>
      <w:hyperlink r:id="rId43">
        <w:r w:rsidRPr="00D654F7">
          <w:rPr>
            <w:rFonts w:ascii="Book Antiqua" w:eastAsia="Times New Roman" w:hAnsi="Book Antiqua" w:cs="Times New Roman"/>
            <w:sz w:val="24"/>
            <w:szCs w:val="24"/>
          </w:rPr>
          <w:t xml:space="preserve"> </w:t>
        </w:r>
      </w:hyperlink>
      <w:hyperlink r:id="rId44">
        <w:r w:rsidRPr="00D654F7">
          <w:rPr>
            <w:rFonts w:ascii="Book Antiqua" w:eastAsia="Times New Roman" w:hAnsi="Book Antiqua" w:cs="Times New Roman"/>
            <w:color w:val="1155CC"/>
            <w:sz w:val="24"/>
            <w:szCs w:val="24"/>
            <w:u w:val="single"/>
          </w:rPr>
          <w:t>https://doi.org/10.1007/s11625-018-0627-5</w:t>
        </w:r>
      </w:hyperlink>
    </w:p>
    <w:p w14:paraId="3160884D"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Puspitasari, D. (2020). The role of employee involvement in CSR programs on employee loyalty. Indonesian Journal of Economics and Business, 8(2), 101–109.</w:t>
      </w:r>
    </w:p>
    <w:p w14:paraId="5F59AF56"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Putri, RA (2019). The influence of perceptions of corporate CSR implementation on employee satisfaction and retention. Journal of Applied Management Science, 6(3), 45–52.</w:t>
      </w:r>
    </w:p>
    <w:p w14:paraId="0EA86D62"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Ramadhani, NR (2021). The relationship between work meaningfulness and turnover intention in millennial employees. Insight Psychology Journal, 10(1), 52–61.</w:t>
      </w:r>
    </w:p>
    <w:p w14:paraId="6E78F4BB"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Shmueli, G., Ray, S., Velasquez Estrada, J.M., &amp; Chatla, S.B. (2019). The Elephant in the Room: Evaluating the Predictive Performance of PLS ​​Models. Journal of Business Research, 104, 149–160.</w:t>
      </w:r>
      <w:hyperlink r:id="rId45">
        <w:r w:rsidRPr="00D654F7">
          <w:rPr>
            <w:rFonts w:ascii="Book Antiqua" w:eastAsia="Times New Roman" w:hAnsi="Book Antiqua" w:cs="Times New Roman"/>
            <w:color w:val="0000FF"/>
            <w:sz w:val="24"/>
            <w:szCs w:val="24"/>
            <w:u w:val="single"/>
          </w:rPr>
          <w:t>https://doi.org/10.1016/j.jbusres.2016.03.049</w:t>
        </w:r>
      </w:hyperlink>
    </w:p>
    <w:p w14:paraId="3151A99D"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Simanjuntak, DM (2020). The influence of work meaning on employee retention intentions with work engagement as a mediating variable (Master's Thesis, Gadjah Mada University).</w:t>
      </w:r>
    </w:p>
    <w:p w14:paraId="24E4B34B"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Singh, S., &amp; Pradhan, R. K. (2024). Linking CSR to employee retention: The mediating role of work meaning. Corporate Social Responsibility and Environmental Management, 31(1), 88–100. https://doi.org/10.1002/csr.2578</w:t>
      </w:r>
    </w:p>
    <w:p w14:paraId="74BF141E"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Steger, M.F., Dik, B.J., &amp; Duffy, R.D. (2012). Measuring meaningful work: The Work and Meaning Inventory (WAMI). Journal of Career Assessment, 20(3), 322–337.</w:t>
      </w:r>
      <w:hyperlink r:id="rId46">
        <w:r w:rsidRPr="00D654F7">
          <w:rPr>
            <w:rFonts w:ascii="Book Antiqua" w:eastAsia="Times New Roman" w:hAnsi="Book Antiqua" w:cs="Times New Roman"/>
            <w:color w:val="1155CC"/>
            <w:sz w:val="24"/>
            <w:szCs w:val="24"/>
            <w:u w:val="single"/>
          </w:rPr>
          <w:t>https://doi.org/10.1177/1069072711436160</w:t>
        </w:r>
      </w:hyperlink>
      <w:r w:rsidRPr="00D654F7">
        <w:rPr>
          <w:rFonts w:ascii="Book Antiqua" w:eastAsia="Times New Roman" w:hAnsi="Book Antiqua" w:cs="Times New Roman"/>
          <w:sz w:val="24"/>
          <w:szCs w:val="24"/>
        </w:rPr>
        <w:t xml:space="preserve"> </w:t>
      </w:r>
    </w:p>
    <w:p w14:paraId="6173B4DD"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Suchman, M. C. (1995). Managing legitimacy: Strategic and institutional approaches. Academy of Management Review, 20(3), 571–610.</w:t>
      </w:r>
      <w:hyperlink r:id="rId47">
        <w:r w:rsidRPr="00D654F7">
          <w:rPr>
            <w:rFonts w:ascii="Book Antiqua" w:eastAsia="Times New Roman" w:hAnsi="Book Antiqua" w:cs="Times New Roman"/>
            <w:color w:val="1155CC"/>
            <w:sz w:val="24"/>
            <w:szCs w:val="24"/>
            <w:u w:val="single"/>
          </w:rPr>
          <w:t>https://doi.org/10.5465/amr.1995.9508080331</w:t>
        </w:r>
      </w:hyperlink>
      <w:r w:rsidRPr="00D654F7">
        <w:rPr>
          <w:rFonts w:ascii="Book Antiqua" w:eastAsia="Times New Roman" w:hAnsi="Book Antiqua" w:cs="Times New Roman"/>
          <w:sz w:val="24"/>
          <w:szCs w:val="24"/>
        </w:rPr>
        <w:t xml:space="preserve"> </w:t>
      </w:r>
    </w:p>
    <w:p w14:paraId="2EEE66C4"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Tasoulis, K., Vlachos, P. A., &amp; Theriou, G. (2025). Managing talent, culture, and social responsibility at Brilliant Games. SAGE Business Cases.</w:t>
      </w:r>
      <w:hyperlink r:id="rId48">
        <w:r w:rsidRPr="00D654F7">
          <w:rPr>
            <w:rFonts w:ascii="Book Antiqua" w:eastAsia="Times New Roman" w:hAnsi="Book Antiqua" w:cs="Times New Roman"/>
            <w:sz w:val="24"/>
            <w:szCs w:val="24"/>
          </w:rPr>
          <w:t xml:space="preserve"> </w:t>
        </w:r>
      </w:hyperlink>
      <w:hyperlink r:id="rId49">
        <w:r w:rsidRPr="00D654F7">
          <w:rPr>
            <w:rFonts w:ascii="Book Antiqua" w:eastAsia="Times New Roman" w:hAnsi="Book Antiqua" w:cs="Times New Roman"/>
            <w:color w:val="1155CC"/>
            <w:sz w:val="24"/>
            <w:szCs w:val="24"/>
            <w:u w:val="single"/>
          </w:rPr>
          <w:t>https://sk.sagepub.com/cases/skpromo/IPM6xE/managing-talent-culture-and-social-responsibility-at-brilliant-games</w:t>
        </w:r>
      </w:hyperlink>
    </w:p>
    <w:p w14:paraId="0AE936F0"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color w:val="1155CC"/>
          <w:sz w:val="24"/>
          <w:szCs w:val="24"/>
          <w:u w:val="single"/>
        </w:rPr>
      </w:pPr>
      <w:r w:rsidRPr="00D654F7">
        <w:rPr>
          <w:rFonts w:ascii="Book Antiqua" w:eastAsia="Times New Roman" w:hAnsi="Book Antiqua" w:cs="Times New Roman"/>
          <w:sz w:val="24"/>
          <w:szCs w:val="24"/>
        </w:rPr>
        <w:t>Wardono, G., Ubaidilah, M., Susilowati, E., &amp; Wahyudi, D. (2024). Corporate Social Responsibility (CSR) fund management model for environmental sustainability: A study of the Digital Waste Alms program of PT Indocement Tunggal Prakarsa Tbk. Ekonomis: Journal of Economics and Business, 8(2), 1927–1930.</w:t>
      </w:r>
      <w:hyperlink r:id="rId50">
        <w:r w:rsidRPr="00D654F7">
          <w:rPr>
            <w:rFonts w:ascii="Book Antiqua" w:eastAsia="Times New Roman" w:hAnsi="Book Antiqua" w:cs="Times New Roman"/>
            <w:sz w:val="24"/>
            <w:szCs w:val="24"/>
          </w:rPr>
          <w:t xml:space="preserve"> </w:t>
        </w:r>
      </w:hyperlink>
      <w:hyperlink r:id="rId51">
        <w:r w:rsidRPr="00D654F7">
          <w:rPr>
            <w:rFonts w:ascii="Book Antiqua" w:eastAsia="Times New Roman" w:hAnsi="Book Antiqua" w:cs="Times New Roman"/>
            <w:color w:val="1155CC"/>
            <w:sz w:val="24"/>
            <w:szCs w:val="24"/>
            <w:u w:val="single"/>
          </w:rPr>
          <w:t>https://doi.org/10.33087/ekonomis.v8i2.2141</w:t>
        </w:r>
      </w:hyperlink>
      <w:r w:rsidRPr="00D654F7">
        <w:rPr>
          <w:rFonts w:ascii="Book Antiqua" w:eastAsia="Times New Roman" w:hAnsi="Book Antiqua" w:cs="Times New Roman"/>
          <w:color w:val="1155CC"/>
          <w:sz w:val="24"/>
          <w:szCs w:val="24"/>
          <w:u w:val="single"/>
        </w:rPr>
        <w:t xml:space="preserve"> </w:t>
      </w:r>
    </w:p>
    <w:p w14:paraId="2FED3E79"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sz w:val="24"/>
          <w:szCs w:val="24"/>
        </w:rPr>
      </w:pPr>
      <w:r w:rsidRPr="00D654F7">
        <w:rPr>
          <w:rFonts w:ascii="Book Antiqua" w:eastAsia="Times New Roman" w:hAnsi="Book Antiqua" w:cs="Times New Roman"/>
          <w:sz w:val="24"/>
          <w:szCs w:val="24"/>
        </w:rPr>
        <w:t>Wulandari, A. (2021). Corporate Social Responsibility (CSR) and its influence on employee motivation and work meaning in the service sector. Human Capital Journal, 9(1), 33–44.</w:t>
      </w:r>
    </w:p>
    <w:p w14:paraId="3B828505" w14:textId="77777777" w:rsidR="0031121E" w:rsidRPr="00D654F7" w:rsidRDefault="00B9221C" w:rsidP="001779AD">
      <w:pPr>
        <w:pBdr>
          <w:top w:val="none" w:sz="0" w:space="0" w:color="000000"/>
          <w:left w:val="none" w:sz="0" w:space="0" w:color="000000"/>
          <w:bottom w:val="none" w:sz="0" w:space="0" w:color="000000"/>
          <w:right w:val="none" w:sz="0" w:space="0" w:color="000000"/>
          <w:between w:val="none" w:sz="0" w:space="0" w:color="000000"/>
        </w:pBdr>
        <w:spacing w:after="0" w:line="240" w:lineRule="auto"/>
        <w:ind w:left="630" w:hanging="630"/>
        <w:jc w:val="both"/>
        <w:rPr>
          <w:rFonts w:ascii="Book Antiqua" w:eastAsia="Times New Roman" w:hAnsi="Book Antiqua" w:cs="Times New Roman"/>
          <w:color w:val="000000"/>
          <w:sz w:val="24"/>
          <w:szCs w:val="24"/>
        </w:rPr>
      </w:pPr>
      <w:r w:rsidRPr="00D654F7">
        <w:rPr>
          <w:rFonts w:ascii="Book Antiqua" w:eastAsia="Times New Roman" w:hAnsi="Book Antiqua" w:cs="Times New Roman"/>
          <w:sz w:val="24"/>
          <w:szCs w:val="24"/>
        </w:rPr>
        <w:t>Yuliastuti, A. (2020). The influence of employee participation in CSR on the perception of the meaning of work and work motivation. Journal of Management and Business Sciences, 7(2), 55–63.</w:t>
      </w:r>
      <w:r w:rsidR="00D654F7" w:rsidRPr="00D654F7">
        <w:rPr>
          <w:rFonts w:ascii="Book Antiqua" w:eastAsia="Times New Roman" w:hAnsi="Book Antiqua" w:cs="Times New Roman"/>
          <w:color w:val="000000"/>
          <w:sz w:val="24"/>
          <w:szCs w:val="24"/>
        </w:rPr>
        <w:t xml:space="preserve"> </w:t>
      </w:r>
    </w:p>
    <w:sectPr w:rsidR="0031121E" w:rsidRPr="00D654F7" w:rsidSect="00D52B6B">
      <w:headerReference w:type="default" r:id="rId52"/>
      <w:headerReference w:type="first" r:id="rId53"/>
      <w:pgSz w:w="11907" w:h="16840" w:code="9"/>
      <w:pgMar w:top="1440" w:right="1440" w:bottom="1440" w:left="1440" w:header="1138" w:footer="113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B7A1C" w14:textId="77777777" w:rsidR="00B6131C" w:rsidRDefault="00B6131C">
      <w:pPr>
        <w:spacing w:after="0" w:line="240" w:lineRule="auto"/>
      </w:pPr>
      <w:r>
        <w:separator/>
      </w:r>
    </w:p>
  </w:endnote>
  <w:endnote w:type="continuationSeparator" w:id="0">
    <w:p w14:paraId="095AA7EC" w14:textId="77777777" w:rsidR="00B6131C" w:rsidRDefault="00B61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82635878-00B1-4B2F-97D1-51EA138A4B4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D82DCC1F-85EF-4BBC-8C47-F0F5D9D35B15}"/>
    <w:embedBold r:id="rId3" w:fontKey="{EDCB978B-6633-4727-9605-83A616B34D2B}"/>
    <w:embedItalic r:id="rId4" w:fontKey="{B997E441-17B6-46A9-AA1B-AD84F5098B7B}"/>
    <w:embedBoldItalic r:id="rId5" w:fontKey="{1B88C803-7423-41A8-8349-D6B20572B724}"/>
  </w:font>
  <w:font w:name="Segoe UI">
    <w:panose1 w:val="020B0502040204020203"/>
    <w:charset w:val="00"/>
    <w:family w:val="swiss"/>
    <w:pitch w:val="variable"/>
    <w:sig w:usb0="E4002EFF" w:usb1="C000E47F" w:usb2="00000009" w:usb3="00000000" w:csb0="000001FF" w:csb1="00000000"/>
    <w:embedRegular r:id="rId6" w:fontKey="{45C0E412-D853-4235-943E-1122531A71EB}"/>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embedRegular r:id="rId7" w:fontKey="{5003F57E-6FB8-4A54-8BBE-FBCB2661801D}"/>
    <w:embedBold r:id="rId8" w:fontKey="{946BEE5C-F036-4602-B34D-578DA43389BD}"/>
    <w:embedItalic r:id="rId9" w:fontKey="{90D0F97A-725D-4A32-8EC6-9E9606C95D3B}"/>
    <w:embedBoldItalic r:id="rId10" w:fontKey="{82DF65D7-BB67-4A2C-8FD7-9575716FD9F3}"/>
  </w:font>
  <w:font w:name="Garamond">
    <w:panose1 w:val="02020404030301010803"/>
    <w:charset w:val="00"/>
    <w:family w:val="roman"/>
    <w:pitch w:val="variable"/>
    <w:sig w:usb0="00000287" w:usb1="00000000" w:usb2="00000000" w:usb3="00000000" w:csb0="0000009F" w:csb1="00000000"/>
    <w:embedRegular r:id="rId11" w:fontKey="{B962E65A-2D9B-4442-B560-EFAF5B72076D}"/>
  </w:font>
  <w:font w:name="Georgia">
    <w:panose1 w:val="02040502050405020303"/>
    <w:charset w:val="00"/>
    <w:family w:val="roman"/>
    <w:pitch w:val="variable"/>
    <w:sig w:usb0="00000287" w:usb1="00000000" w:usb2="00000000" w:usb3="00000000" w:csb0="0000009F" w:csb1="00000000"/>
    <w:embedItalic r:id="rId12" w:fontKey="{38627740-D402-4032-93D2-7AC8AFC14EBD}"/>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embedRegular r:id="rId13" w:fontKey="{8A776B26-F724-4E5D-909B-12660FB6895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F5F6C" w14:textId="77777777" w:rsidR="00B6131C" w:rsidRDefault="00B6131C">
      <w:pPr>
        <w:spacing w:after="0" w:line="240" w:lineRule="auto"/>
      </w:pPr>
      <w:r>
        <w:separator/>
      </w:r>
    </w:p>
  </w:footnote>
  <w:footnote w:type="continuationSeparator" w:id="0">
    <w:p w14:paraId="6896401B" w14:textId="77777777" w:rsidR="00B6131C" w:rsidRDefault="00B61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58B56" w14:textId="77777777" w:rsidR="001779AD" w:rsidRDefault="001779AD">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67463" w14:textId="77777777" w:rsidR="001779AD" w:rsidRDefault="001779AD">
    <w:pPr>
      <w:pBdr>
        <w:top w:val="nil"/>
        <w:left w:val="nil"/>
        <w:bottom w:val="nil"/>
        <w:right w:val="nil"/>
        <w:between w:val="nil"/>
      </w:pBdr>
      <w:tabs>
        <w:tab w:val="center" w:pos="4680"/>
        <w:tab w:val="right" w:pos="9360"/>
      </w:tabs>
      <w:rPr>
        <w:color w:val="000000"/>
      </w:rPr>
    </w:pP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55B14"/>
    <w:multiLevelType w:val="multilevel"/>
    <w:tmpl w:val="904AEC7C"/>
    <w:lvl w:ilvl="0">
      <w:start w:val="1"/>
      <w:numFmt w:val="decimal"/>
      <w:lvlText w:val="%1)"/>
      <w:lvlJc w:val="left"/>
      <w:pPr>
        <w:ind w:left="786" w:hanging="360"/>
      </w:pPr>
      <w:rPr>
        <w:i w:val="0"/>
        <w:iCs w:val="0"/>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 w15:restartNumberingAfterBreak="0">
    <w:nsid w:val="077139C6"/>
    <w:multiLevelType w:val="multilevel"/>
    <w:tmpl w:val="3314DA32"/>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4BB3749"/>
    <w:multiLevelType w:val="multilevel"/>
    <w:tmpl w:val="4D46D51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3CFF4752"/>
    <w:multiLevelType w:val="multilevel"/>
    <w:tmpl w:val="A70022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48EE23A8"/>
    <w:multiLevelType w:val="multilevel"/>
    <w:tmpl w:val="3C3085BC"/>
    <w:lvl w:ilvl="0">
      <w:start w:val="1"/>
      <w:numFmt w:val="lowerLetter"/>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5" w15:restartNumberingAfterBreak="0">
    <w:nsid w:val="52F40F2E"/>
    <w:multiLevelType w:val="multilevel"/>
    <w:tmpl w:val="1B2EFFC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642C25FF"/>
    <w:multiLevelType w:val="multilevel"/>
    <w:tmpl w:val="E4B458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pStyle w:val="Heading7"/>
      <w:lvlText w:val="%7."/>
      <w:lvlJc w:val="left"/>
      <w:pPr>
        <w:ind w:left="5040" w:hanging="360"/>
      </w:pPr>
    </w:lvl>
    <w:lvl w:ilvl="7">
      <w:start w:val="1"/>
      <w:numFmt w:val="lowerLetter"/>
      <w:pStyle w:val="Heading8"/>
      <w:lvlText w:val="%8."/>
      <w:lvlJc w:val="left"/>
      <w:pPr>
        <w:ind w:left="5760" w:hanging="360"/>
      </w:pPr>
    </w:lvl>
    <w:lvl w:ilvl="8">
      <w:start w:val="1"/>
      <w:numFmt w:val="lowerRoman"/>
      <w:pStyle w:val="Heading9"/>
      <w:lvlText w:val="%9."/>
      <w:lvlJc w:val="right"/>
      <w:pPr>
        <w:ind w:left="6480" w:hanging="180"/>
      </w:pPr>
    </w:lvl>
  </w:abstractNum>
  <w:abstractNum w:abstractNumId="7" w15:restartNumberingAfterBreak="0">
    <w:nsid w:val="73DF15F5"/>
    <w:multiLevelType w:val="multilevel"/>
    <w:tmpl w:val="060E8E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DB847EB"/>
    <w:multiLevelType w:val="multilevel"/>
    <w:tmpl w:val="840E7AC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6"/>
  </w:num>
  <w:num w:numId="2">
    <w:abstractNumId w:val="7"/>
  </w:num>
  <w:num w:numId="3">
    <w:abstractNumId w:val="8"/>
  </w:num>
  <w:num w:numId="4">
    <w:abstractNumId w:val="4"/>
  </w:num>
  <w:num w:numId="5">
    <w:abstractNumId w:val="0"/>
  </w:num>
  <w:num w:numId="6">
    <w:abstractNumId w:val="1"/>
  </w:num>
  <w:num w:numId="7">
    <w:abstractNumId w:val="2"/>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hideSpellingErrors/>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121E"/>
    <w:rsid w:val="0000290E"/>
    <w:rsid w:val="00013ADD"/>
    <w:rsid w:val="00045B62"/>
    <w:rsid w:val="00074C93"/>
    <w:rsid w:val="000F738F"/>
    <w:rsid w:val="001779AD"/>
    <w:rsid w:val="001917A9"/>
    <w:rsid w:val="001C2D50"/>
    <w:rsid w:val="00226691"/>
    <w:rsid w:val="00284565"/>
    <w:rsid w:val="002928DA"/>
    <w:rsid w:val="00303E8B"/>
    <w:rsid w:val="0031121E"/>
    <w:rsid w:val="003542F6"/>
    <w:rsid w:val="00387117"/>
    <w:rsid w:val="003E03AE"/>
    <w:rsid w:val="003F44C7"/>
    <w:rsid w:val="00422E40"/>
    <w:rsid w:val="00431E30"/>
    <w:rsid w:val="00473EFB"/>
    <w:rsid w:val="004923E5"/>
    <w:rsid w:val="004A3633"/>
    <w:rsid w:val="00541D16"/>
    <w:rsid w:val="005459A7"/>
    <w:rsid w:val="00575469"/>
    <w:rsid w:val="005D0D89"/>
    <w:rsid w:val="005F7FE0"/>
    <w:rsid w:val="00616CA0"/>
    <w:rsid w:val="00616E69"/>
    <w:rsid w:val="007261F7"/>
    <w:rsid w:val="00731248"/>
    <w:rsid w:val="00741BC3"/>
    <w:rsid w:val="007429DB"/>
    <w:rsid w:val="00784536"/>
    <w:rsid w:val="007B193B"/>
    <w:rsid w:val="007C68EC"/>
    <w:rsid w:val="0083101E"/>
    <w:rsid w:val="008E2A29"/>
    <w:rsid w:val="00935A03"/>
    <w:rsid w:val="009F3643"/>
    <w:rsid w:val="00A0533C"/>
    <w:rsid w:val="00A35434"/>
    <w:rsid w:val="00A90037"/>
    <w:rsid w:val="00B5335E"/>
    <w:rsid w:val="00B6131C"/>
    <w:rsid w:val="00B765D1"/>
    <w:rsid w:val="00B9221C"/>
    <w:rsid w:val="00BA5756"/>
    <w:rsid w:val="00BC1249"/>
    <w:rsid w:val="00BC61D3"/>
    <w:rsid w:val="00BD7271"/>
    <w:rsid w:val="00BF303E"/>
    <w:rsid w:val="00C32F05"/>
    <w:rsid w:val="00C541E8"/>
    <w:rsid w:val="00C7217D"/>
    <w:rsid w:val="00C761FB"/>
    <w:rsid w:val="00C83DA2"/>
    <w:rsid w:val="00CA14A1"/>
    <w:rsid w:val="00CA6A18"/>
    <w:rsid w:val="00CF7644"/>
    <w:rsid w:val="00D12F50"/>
    <w:rsid w:val="00D52B6B"/>
    <w:rsid w:val="00D654F7"/>
    <w:rsid w:val="00D66311"/>
    <w:rsid w:val="00DB0725"/>
    <w:rsid w:val="00DF49DB"/>
    <w:rsid w:val="00DF6906"/>
    <w:rsid w:val="00E16972"/>
    <w:rsid w:val="00E36E88"/>
    <w:rsid w:val="00E45401"/>
    <w:rsid w:val="00E71EF0"/>
    <w:rsid w:val="00E91B07"/>
    <w:rsid w:val="00EB1C2A"/>
    <w:rsid w:val="00EC7B43"/>
    <w:rsid w:val="00F40284"/>
    <w:rsid w:val="00F43F8D"/>
    <w:rsid w:val="00F62D45"/>
    <w:rsid w:val="00F906F6"/>
    <w:rsid w:val="00FD1DFF"/>
    <w:rsid w:val="00FF4A90"/>
    <w:rsid w:val="00FF648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6221C"/>
  <w15:docId w15:val="{7D489FDC-FDDB-43B1-904A-90A255444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40" w:after="80" w:line="240" w:lineRule="auto"/>
      <w:jc w:val="center"/>
      <w:outlineLvl w:val="0"/>
    </w:pPr>
    <w:rPr>
      <w:rFonts w:ascii="Times New Roman" w:eastAsia="Times New Roman" w:hAnsi="Times New Roman" w:cs="Times New Roman"/>
      <w:smallCaps/>
      <w:sz w:val="20"/>
      <w:szCs w:val="20"/>
    </w:rPr>
  </w:style>
  <w:style w:type="paragraph" w:styleId="Heading2">
    <w:name w:val="heading 2"/>
    <w:basedOn w:val="Normal"/>
    <w:next w:val="Normal"/>
    <w:link w:val="Heading2Char"/>
    <w:uiPriority w:val="9"/>
    <w:semiHidden/>
    <w:unhideWhenUsed/>
    <w:qFormat/>
    <w:pPr>
      <w:keepNext/>
      <w:spacing w:before="120" w:after="60" w:line="240" w:lineRule="auto"/>
      <w:ind w:left="144"/>
      <w:outlineLvl w:val="1"/>
    </w:pPr>
    <w:rPr>
      <w:rFonts w:ascii="Times New Roman" w:eastAsia="Times New Roman" w:hAnsi="Times New Roman" w:cs="Times New Roman"/>
      <w:i/>
      <w:iCs/>
      <w:sz w:val="20"/>
      <w:szCs w:val="20"/>
    </w:rPr>
  </w:style>
  <w:style w:type="paragraph" w:styleId="Heading3">
    <w:name w:val="heading 3"/>
    <w:basedOn w:val="Normal"/>
    <w:next w:val="Normal"/>
    <w:link w:val="Heading3Char"/>
    <w:uiPriority w:val="9"/>
    <w:semiHidden/>
    <w:unhideWhenUsed/>
    <w:qFormat/>
    <w:pPr>
      <w:keepNext/>
      <w:spacing w:after="0" w:line="240" w:lineRule="auto"/>
      <w:ind w:left="288"/>
      <w:outlineLvl w:val="2"/>
    </w:pPr>
    <w:rPr>
      <w:rFonts w:ascii="Times New Roman" w:eastAsia="Times New Roman" w:hAnsi="Times New Roman" w:cs="Times New Roman"/>
      <w:i/>
      <w:iCs/>
      <w:sz w:val="20"/>
      <w:szCs w:val="20"/>
    </w:rPr>
  </w:style>
  <w:style w:type="paragraph" w:styleId="Heading4">
    <w:name w:val="heading 4"/>
    <w:basedOn w:val="Normal"/>
    <w:next w:val="Normal"/>
    <w:link w:val="Heading4Char"/>
    <w:uiPriority w:val="9"/>
    <w:semiHidden/>
    <w:unhideWhenUsed/>
    <w:qFormat/>
    <w:pPr>
      <w:keepNext/>
      <w:spacing w:before="240" w:after="60" w:line="240" w:lineRule="auto"/>
      <w:ind w:left="1332" w:hanging="720"/>
      <w:outlineLvl w:val="3"/>
    </w:pPr>
    <w:rPr>
      <w:rFonts w:ascii="Times New Roman" w:eastAsia="Times New Roman" w:hAnsi="Times New Roman" w:cs="Times New Roman"/>
      <w:i/>
      <w:iCs/>
      <w:sz w:val="18"/>
      <w:szCs w:val="18"/>
    </w:rPr>
  </w:style>
  <w:style w:type="paragraph" w:styleId="Heading5">
    <w:name w:val="heading 5"/>
    <w:basedOn w:val="Normal"/>
    <w:next w:val="Normal"/>
    <w:link w:val="Heading5Char"/>
    <w:uiPriority w:val="9"/>
    <w:semiHidden/>
    <w:unhideWhenUsed/>
    <w:qFormat/>
    <w:pPr>
      <w:spacing w:before="240" w:after="60" w:line="240" w:lineRule="auto"/>
      <w:ind w:left="2052" w:hanging="720"/>
      <w:outlineLvl w:val="4"/>
    </w:pPr>
    <w:rPr>
      <w:rFonts w:ascii="Times New Roman" w:eastAsia="Times New Roman" w:hAnsi="Times New Roman" w:cs="Times New Roman"/>
      <w:sz w:val="18"/>
      <w:szCs w:val="18"/>
    </w:rPr>
  </w:style>
  <w:style w:type="paragraph" w:styleId="Heading6">
    <w:name w:val="heading 6"/>
    <w:basedOn w:val="Normal"/>
    <w:next w:val="Normal"/>
    <w:link w:val="Heading6Char"/>
    <w:uiPriority w:val="9"/>
    <w:semiHidden/>
    <w:unhideWhenUsed/>
    <w:qFormat/>
    <w:pPr>
      <w:spacing w:before="240" w:after="60" w:line="240" w:lineRule="auto"/>
      <w:ind w:left="2772" w:hanging="720"/>
      <w:outlineLvl w:val="5"/>
    </w:pPr>
    <w:rPr>
      <w:rFonts w:ascii="Times New Roman" w:eastAsia="Times New Roman" w:hAnsi="Times New Roman" w:cs="Times New Roman"/>
      <w:i/>
      <w:iCs/>
      <w:sz w:val="16"/>
      <w:szCs w:val="16"/>
    </w:rPr>
  </w:style>
  <w:style w:type="paragraph" w:styleId="Heading7">
    <w:name w:val="heading 7"/>
    <w:basedOn w:val="Normal"/>
    <w:next w:val="Normal"/>
    <w:link w:val="Heading7Char"/>
    <w:qFormat/>
    <w:rsid w:val="002B59E2"/>
    <w:pPr>
      <w:numPr>
        <w:ilvl w:val="6"/>
        <w:numId w:val="1"/>
      </w:numPr>
      <w:autoSpaceDE w:val="0"/>
      <w:autoSpaceDN w:val="0"/>
      <w:spacing w:before="240" w:after="60" w:line="240" w:lineRule="auto"/>
      <w:outlineLvl w:val="6"/>
    </w:pPr>
    <w:rPr>
      <w:rFonts w:ascii="Times New Roman" w:eastAsia="Times New Roman" w:hAnsi="Times New Roman"/>
      <w:sz w:val="16"/>
      <w:szCs w:val="16"/>
    </w:rPr>
  </w:style>
  <w:style w:type="paragraph" w:styleId="Heading8">
    <w:name w:val="heading 8"/>
    <w:basedOn w:val="Normal"/>
    <w:next w:val="Normal"/>
    <w:link w:val="Heading8Char"/>
    <w:qFormat/>
    <w:rsid w:val="002B59E2"/>
    <w:pPr>
      <w:numPr>
        <w:ilvl w:val="7"/>
        <w:numId w:val="1"/>
      </w:numPr>
      <w:autoSpaceDE w:val="0"/>
      <w:autoSpaceDN w:val="0"/>
      <w:spacing w:before="240" w:after="60" w:line="240" w:lineRule="auto"/>
      <w:outlineLvl w:val="7"/>
    </w:pPr>
    <w:rPr>
      <w:rFonts w:ascii="Times New Roman" w:eastAsia="Times New Roman" w:hAnsi="Times New Roman"/>
      <w:i/>
      <w:iCs/>
      <w:sz w:val="16"/>
      <w:szCs w:val="16"/>
    </w:rPr>
  </w:style>
  <w:style w:type="paragraph" w:styleId="Heading9">
    <w:name w:val="heading 9"/>
    <w:basedOn w:val="Normal"/>
    <w:next w:val="Normal"/>
    <w:link w:val="Heading9Char"/>
    <w:qFormat/>
    <w:rsid w:val="002B59E2"/>
    <w:pPr>
      <w:numPr>
        <w:ilvl w:val="8"/>
        <w:numId w:val="1"/>
      </w:numPr>
      <w:autoSpaceDE w:val="0"/>
      <w:autoSpaceDN w:val="0"/>
      <w:spacing w:before="240" w:after="60" w:line="240" w:lineRule="auto"/>
      <w:outlineLvl w:val="8"/>
    </w:pPr>
    <w:rPr>
      <w:rFonts w:ascii="Times New Roman" w:eastAsia="Times New Roman" w:hAnsi="Times New Roman"/>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jc w:val="center"/>
    </w:pPr>
    <w:rPr>
      <w:rFonts w:ascii="Times New Roman" w:eastAsia="Times New Roman" w:hAnsi="Times New Roman" w:cs="Times New Roman"/>
      <w:sz w:val="48"/>
      <w:szCs w:val="48"/>
    </w:rPr>
  </w:style>
  <w:style w:type="paragraph" w:customStyle="1" w:styleId="Authors">
    <w:name w:val="Authors"/>
    <w:basedOn w:val="Normal"/>
    <w:next w:val="Normal"/>
    <w:rsid w:val="002B59E2"/>
    <w:pPr>
      <w:framePr w:w="9072" w:hSpace="187" w:vSpace="187" w:wrap="notBeside" w:vAnchor="text" w:hAnchor="page" w:xAlign="center" w:y="1"/>
      <w:autoSpaceDE w:val="0"/>
      <w:autoSpaceDN w:val="0"/>
      <w:spacing w:after="320" w:line="240" w:lineRule="auto"/>
      <w:jc w:val="center"/>
    </w:pPr>
    <w:rPr>
      <w:rFonts w:ascii="Times New Roman" w:eastAsia="Times New Roman" w:hAnsi="Times New Roman"/>
    </w:rPr>
  </w:style>
  <w:style w:type="character" w:customStyle="1" w:styleId="TitleChar">
    <w:name w:val="Title Char"/>
    <w:basedOn w:val="DefaultParagraphFont"/>
    <w:link w:val="Title"/>
    <w:rsid w:val="002B59E2"/>
    <w:rPr>
      <w:rFonts w:ascii="Times New Roman" w:eastAsia="Times New Roman" w:hAnsi="Times New Roman" w:cs="Times New Roman"/>
      <w:kern w:val="28"/>
      <w:sz w:val="48"/>
      <w:szCs w:val="48"/>
    </w:rPr>
  </w:style>
  <w:style w:type="paragraph" w:customStyle="1" w:styleId="Abstract">
    <w:name w:val="Abstract"/>
    <w:basedOn w:val="Normal"/>
    <w:next w:val="Normal"/>
    <w:rsid w:val="002B59E2"/>
    <w:pPr>
      <w:autoSpaceDE w:val="0"/>
      <w:autoSpaceDN w:val="0"/>
      <w:spacing w:before="20" w:after="0" w:line="240" w:lineRule="auto"/>
      <w:ind w:firstLine="202"/>
      <w:jc w:val="both"/>
    </w:pPr>
    <w:rPr>
      <w:rFonts w:ascii="Times New Roman" w:eastAsia="Times New Roman" w:hAnsi="Times New Roman"/>
      <w:b/>
      <w:bCs/>
      <w:sz w:val="18"/>
      <w:szCs w:val="18"/>
    </w:rPr>
  </w:style>
  <w:style w:type="character" w:customStyle="1" w:styleId="Heading1Char">
    <w:name w:val="Heading 1 Char"/>
    <w:basedOn w:val="DefaultParagraphFont"/>
    <w:link w:val="Heading1"/>
    <w:rsid w:val="002B59E2"/>
    <w:rPr>
      <w:rFonts w:ascii="Times New Roman" w:eastAsia="Times New Roman" w:hAnsi="Times New Roman" w:cs="Times New Roman"/>
      <w:smallCaps/>
      <w:kern w:val="28"/>
      <w:sz w:val="20"/>
      <w:szCs w:val="20"/>
    </w:rPr>
  </w:style>
  <w:style w:type="character" w:customStyle="1" w:styleId="Heading2Char">
    <w:name w:val="Heading 2 Char"/>
    <w:basedOn w:val="DefaultParagraphFont"/>
    <w:link w:val="Heading2"/>
    <w:rsid w:val="002B59E2"/>
    <w:rPr>
      <w:rFonts w:ascii="Times New Roman" w:eastAsia="Times New Roman" w:hAnsi="Times New Roman" w:cs="Times New Roman"/>
      <w:i/>
      <w:iCs/>
      <w:sz w:val="20"/>
      <w:szCs w:val="20"/>
    </w:rPr>
  </w:style>
  <w:style w:type="character" w:customStyle="1" w:styleId="Heading3Char">
    <w:name w:val="Heading 3 Char"/>
    <w:basedOn w:val="DefaultParagraphFont"/>
    <w:link w:val="Heading3"/>
    <w:rsid w:val="002B59E2"/>
    <w:rPr>
      <w:rFonts w:ascii="Times New Roman" w:eastAsia="Times New Roman" w:hAnsi="Times New Roman" w:cs="Times New Roman"/>
      <w:i/>
      <w:iCs/>
      <w:sz w:val="20"/>
      <w:szCs w:val="20"/>
    </w:rPr>
  </w:style>
  <w:style w:type="character" w:customStyle="1" w:styleId="Heading4Char">
    <w:name w:val="Heading 4 Char"/>
    <w:basedOn w:val="DefaultParagraphFont"/>
    <w:link w:val="Heading4"/>
    <w:rsid w:val="002B59E2"/>
    <w:rPr>
      <w:rFonts w:ascii="Times New Roman" w:eastAsia="Times New Roman" w:hAnsi="Times New Roman" w:cs="Times New Roman"/>
      <w:i/>
      <w:iCs/>
      <w:sz w:val="18"/>
      <w:szCs w:val="18"/>
    </w:rPr>
  </w:style>
  <w:style w:type="character" w:customStyle="1" w:styleId="Heading5Char">
    <w:name w:val="Heading 5 Char"/>
    <w:basedOn w:val="DefaultParagraphFont"/>
    <w:link w:val="Heading5"/>
    <w:rsid w:val="002B59E2"/>
    <w:rPr>
      <w:rFonts w:ascii="Times New Roman" w:eastAsia="Times New Roman" w:hAnsi="Times New Roman" w:cs="Times New Roman"/>
      <w:sz w:val="18"/>
      <w:szCs w:val="18"/>
    </w:rPr>
  </w:style>
  <w:style w:type="character" w:customStyle="1" w:styleId="Heading6Char">
    <w:name w:val="Heading 6 Char"/>
    <w:basedOn w:val="DefaultParagraphFont"/>
    <w:link w:val="Heading6"/>
    <w:rsid w:val="002B59E2"/>
    <w:rPr>
      <w:rFonts w:ascii="Times New Roman" w:eastAsia="Times New Roman" w:hAnsi="Times New Roman" w:cs="Times New Roman"/>
      <w:i/>
      <w:iCs/>
      <w:sz w:val="16"/>
      <w:szCs w:val="16"/>
    </w:rPr>
  </w:style>
  <w:style w:type="character" w:customStyle="1" w:styleId="Heading7Char">
    <w:name w:val="Heading 7 Char"/>
    <w:basedOn w:val="DefaultParagraphFont"/>
    <w:link w:val="Heading7"/>
    <w:rsid w:val="002B59E2"/>
    <w:rPr>
      <w:rFonts w:ascii="Times New Roman" w:eastAsia="Times New Roman" w:hAnsi="Times New Roman" w:cs="Times New Roman"/>
      <w:sz w:val="16"/>
      <w:szCs w:val="16"/>
    </w:rPr>
  </w:style>
  <w:style w:type="character" w:customStyle="1" w:styleId="Heading8Char">
    <w:name w:val="Heading 8 Char"/>
    <w:basedOn w:val="DefaultParagraphFont"/>
    <w:link w:val="Heading8"/>
    <w:rsid w:val="002B59E2"/>
    <w:rPr>
      <w:rFonts w:ascii="Times New Roman" w:eastAsia="Times New Roman" w:hAnsi="Times New Roman" w:cs="Times New Roman"/>
      <w:i/>
      <w:iCs/>
      <w:sz w:val="16"/>
      <w:szCs w:val="16"/>
    </w:rPr>
  </w:style>
  <w:style w:type="character" w:customStyle="1" w:styleId="Heading9Char">
    <w:name w:val="Heading 9 Char"/>
    <w:basedOn w:val="DefaultParagraphFont"/>
    <w:link w:val="Heading9"/>
    <w:rsid w:val="002B59E2"/>
    <w:rPr>
      <w:rFonts w:ascii="Times New Roman" w:eastAsia="Times New Roman" w:hAnsi="Times New Roman" w:cs="Times New Roman"/>
      <w:sz w:val="16"/>
      <w:szCs w:val="16"/>
    </w:rPr>
  </w:style>
  <w:style w:type="paragraph" w:customStyle="1" w:styleId="Text">
    <w:name w:val="Text"/>
    <w:basedOn w:val="Normal"/>
    <w:rsid w:val="002B59E2"/>
    <w:pPr>
      <w:widowControl w:val="0"/>
      <w:autoSpaceDE w:val="0"/>
      <w:autoSpaceDN w:val="0"/>
      <w:spacing w:after="0" w:line="252" w:lineRule="auto"/>
      <w:ind w:firstLine="202"/>
      <w:jc w:val="both"/>
    </w:pPr>
    <w:rPr>
      <w:rFonts w:ascii="Times New Roman" w:eastAsia="Times New Roman" w:hAnsi="Times New Roman"/>
      <w:sz w:val="20"/>
      <w:szCs w:val="20"/>
    </w:rPr>
  </w:style>
  <w:style w:type="paragraph" w:styleId="Header">
    <w:name w:val="header"/>
    <w:basedOn w:val="Normal"/>
    <w:link w:val="HeaderChar"/>
    <w:uiPriority w:val="99"/>
    <w:unhideWhenUsed/>
    <w:rsid w:val="0078646D"/>
    <w:pPr>
      <w:tabs>
        <w:tab w:val="center" w:pos="4680"/>
        <w:tab w:val="right" w:pos="9360"/>
      </w:tabs>
    </w:pPr>
  </w:style>
  <w:style w:type="character" w:customStyle="1" w:styleId="HeaderChar">
    <w:name w:val="Header Char"/>
    <w:basedOn w:val="DefaultParagraphFont"/>
    <w:link w:val="Header"/>
    <w:uiPriority w:val="99"/>
    <w:rsid w:val="0078646D"/>
    <w:rPr>
      <w:sz w:val="22"/>
      <w:szCs w:val="22"/>
    </w:rPr>
  </w:style>
  <w:style w:type="paragraph" w:styleId="Footer">
    <w:name w:val="footer"/>
    <w:basedOn w:val="Normal"/>
    <w:link w:val="FooterChar"/>
    <w:uiPriority w:val="99"/>
    <w:unhideWhenUsed/>
    <w:rsid w:val="0078646D"/>
    <w:pPr>
      <w:tabs>
        <w:tab w:val="center" w:pos="4680"/>
        <w:tab w:val="right" w:pos="9360"/>
      </w:tabs>
    </w:pPr>
  </w:style>
  <w:style w:type="character" w:customStyle="1" w:styleId="FooterChar">
    <w:name w:val="Footer Char"/>
    <w:basedOn w:val="DefaultParagraphFont"/>
    <w:link w:val="Footer"/>
    <w:uiPriority w:val="99"/>
    <w:rsid w:val="0078646D"/>
    <w:rPr>
      <w:sz w:val="22"/>
      <w:szCs w:val="22"/>
    </w:rPr>
  </w:style>
  <w:style w:type="character" w:styleId="Hyperlink">
    <w:name w:val="Hyperlink"/>
    <w:basedOn w:val="DefaultParagraphFont"/>
    <w:uiPriority w:val="99"/>
    <w:unhideWhenUsed/>
    <w:rsid w:val="008E770E"/>
    <w:rPr>
      <w:color w:val="0000FF"/>
      <w:u w:val="single"/>
    </w:rPr>
  </w:style>
  <w:style w:type="paragraph" w:styleId="BalloonText">
    <w:name w:val="Balloon Text"/>
    <w:basedOn w:val="Normal"/>
    <w:link w:val="BalloonTextChar"/>
    <w:uiPriority w:val="99"/>
    <w:semiHidden/>
    <w:unhideWhenUsed/>
    <w:rsid w:val="00B558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58B1"/>
    <w:rPr>
      <w:rFonts w:ascii="Segoe UI" w:hAnsi="Segoe UI" w:cs="Segoe UI"/>
      <w:sz w:val="18"/>
      <w:szCs w:val="18"/>
    </w:rPr>
  </w:style>
  <w:style w:type="paragraph" w:styleId="NoSpacing">
    <w:name w:val="No Spacing"/>
    <w:uiPriority w:val="1"/>
    <w:qFormat/>
    <w:rsid w:val="008F71AF"/>
    <w:rPr>
      <w:rFonts w:asciiTheme="minorHAnsi" w:eastAsiaTheme="minorHAnsi" w:hAnsiTheme="minorHAnsi" w:cstheme="minorBidi"/>
      <w:lang w:val="id-ID"/>
    </w:rPr>
  </w:style>
  <w:style w:type="paragraph" w:styleId="NormalWeb">
    <w:name w:val="Normal (Web)"/>
    <w:basedOn w:val="Normal"/>
    <w:uiPriority w:val="99"/>
    <w:unhideWhenUsed/>
    <w:rsid w:val="00AB7291"/>
    <w:pPr>
      <w:spacing w:before="100" w:beforeAutospacing="1" w:after="100" w:afterAutospacing="1" w:line="240" w:lineRule="auto"/>
    </w:pPr>
    <w:rPr>
      <w:rFonts w:ascii="Times New Roman" w:eastAsiaTheme="minorEastAsia" w:hAnsi="Times New Roman"/>
      <w:sz w:val="24"/>
      <w:szCs w:val="24"/>
      <w:lang w:val="id-ID" w:eastAsia="id-ID"/>
    </w:rPr>
  </w:style>
  <w:style w:type="table" w:styleId="TableGrid">
    <w:name w:val="Table Grid"/>
    <w:basedOn w:val="TableNormal"/>
    <w:uiPriority w:val="39"/>
    <w:rsid w:val="0044100B"/>
    <w:rPr>
      <w:rFonts w:asciiTheme="minorHAnsi" w:eastAsiaTheme="minorHAnsi" w:hAnsiTheme="minorHAnsi" w:cstheme="minorBidi"/>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1"/>
    <w:qFormat/>
    <w:rsid w:val="00F73801"/>
    <w:pPr>
      <w:spacing w:after="160" w:line="259" w:lineRule="auto"/>
      <w:ind w:left="720"/>
      <w:contextualSpacing/>
    </w:pPr>
    <w:rPr>
      <w:rFonts w:asciiTheme="minorHAnsi" w:eastAsiaTheme="minorHAnsi" w:hAnsiTheme="minorHAnsi" w:cstheme="minorBidi"/>
      <w:lang w:val="id-ID"/>
    </w:rPr>
  </w:style>
  <w:style w:type="paragraph" w:customStyle="1" w:styleId="Default">
    <w:name w:val="Default"/>
    <w:rsid w:val="00834E8F"/>
    <w:pPr>
      <w:autoSpaceDE w:val="0"/>
      <w:autoSpaceDN w:val="0"/>
      <w:adjustRightInd w:val="0"/>
    </w:pPr>
    <w:rPr>
      <w:rFonts w:ascii="Arial" w:eastAsia="Times New Roman" w:hAnsi="Arial" w:cs="Arial"/>
      <w:color w:val="000000"/>
      <w:sz w:val="24"/>
      <w:szCs w:val="24"/>
    </w:rPr>
  </w:style>
  <w:style w:type="character" w:customStyle="1" w:styleId="ListParagraphChar">
    <w:name w:val="List Paragraph Char"/>
    <w:link w:val="ListParagraph"/>
    <w:uiPriority w:val="34"/>
    <w:locked/>
    <w:rsid w:val="008E376D"/>
    <w:rPr>
      <w:rFonts w:asciiTheme="minorHAnsi" w:eastAsiaTheme="minorHAnsi" w:hAnsiTheme="minorHAnsi" w:cstheme="minorBidi"/>
      <w:sz w:val="22"/>
      <w:szCs w:val="22"/>
      <w:lang w:val="id-ID"/>
    </w:rPr>
  </w:style>
  <w:style w:type="paragraph" w:styleId="FootnoteText">
    <w:name w:val="footnote text"/>
    <w:basedOn w:val="Normal"/>
    <w:link w:val="FootnoteTextChar"/>
    <w:uiPriority w:val="99"/>
    <w:semiHidden/>
    <w:unhideWhenUsed/>
    <w:rsid w:val="009E2F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E2FF0"/>
  </w:style>
  <w:style w:type="character" w:styleId="FootnoteReference">
    <w:name w:val="footnote reference"/>
    <w:basedOn w:val="DefaultParagraphFont"/>
    <w:uiPriority w:val="99"/>
    <w:semiHidden/>
    <w:unhideWhenUsed/>
    <w:rsid w:val="009E2FF0"/>
    <w:rPr>
      <w:vertAlign w:val="superscript"/>
    </w:rPr>
  </w:style>
  <w:style w:type="character" w:customStyle="1" w:styleId="hps">
    <w:name w:val="hps"/>
    <w:basedOn w:val="DefaultParagraphFont"/>
    <w:rsid w:val="00044508"/>
  </w:style>
  <w:style w:type="paragraph" w:customStyle="1" w:styleId="Ventura-Formula">
    <w:name w:val="Ventura-Formula"/>
    <w:basedOn w:val="Normal"/>
    <w:link w:val="Ventura-FormulaChar"/>
    <w:rsid w:val="00F137EF"/>
    <w:pPr>
      <w:widowControl w:val="0"/>
      <w:tabs>
        <w:tab w:val="right" w:pos="4621"/>
      </w:tabs>
      <w:spacing w:after="0" w:line="240" w:lineRule="auto"/>
      <w:jc w:val="both"/>
    </w:pPr>
    <w:rPr>
      <w:rFonts w:ascii="Book Antiqua" w:eastAsia="Times New Roman" w:hAnsi="Book Antiqua"/>
      <w:sz w:val="20"/>
      <w:szCs w:val="24"/>
    </w:rPr>
  </w:style>
  <w:style w:type="character" w:customStyle="1" w:styleId="Ventura-FormulaChar">
    <w:name w:val="Ventura-Formula Char"/>
    <w:link w:val="Ventura-Formula"/>
    <w:rsid w:val="00F137EF"/>
    <w:rPr>
      <w:rFonts w:ascii="Book Antiqua" w:eastAsia="Times New Roman" w:hAnsi="Book Antiqua"/>
      <w:szCs w:val="24"/>
    </w:rPr>
  </w:style>
  <w:style w:type="paragraph" w:customStyle="1" w:styleId="EndNoteBibliography">
    <w:name w:val="EndNote Bibliography"/>
    <w:basedOn w:val="Normal"/>
    <w:link w:val="EndNoteBibliographyChar"/>
    <w:autoRedefine/>
    <w:rsid w:val="00F137EF"/>
    <w:pPr>
      <w:widowControl w:val="0"/>
      <w:spacing w:after="0" w:line="240" w:lineRule="auto"/>
      <w:ind w:left="567" w:hanging="567"/>
      <w:jc w:val="both"/>
    </w:pPr>
    <w:rPr>
      <w:rFonts w:ascii="Garamond" w:eastAsia="Times New Roman" w:hAnsi="Garamond"/>
      <w:noProof/>
      <w:sz w:val="24"/>
      <w:szCs w:val="24"/>
    </w:rPr>
  </w:style>
  <w:style w:type="character" w:customStyle="1" w:styleId="EndNoteBibliographyChar">
    <w:name w:val="EndNote Bibliography Char"/>
    <w:basedOn w:val="DefaultParagraphFont"/>
    <w:link w:val="EndNoteBibliography"/>
    <w:rsid w:val="00F137EF"/>
    <w:rPr>
      <w:rFonts w:ascii="Garamond" w:eastAsia="Times New Roman" w:hAnsi="Garamond"/>
      <w:noProof/>
      <w:sz w:val="24"/>
      <w:szCs w:val="24"/>
    </w:rPr>
  </w:style>
  <w:style w:type="table" w:customStyle="1" w:styleId="PlainTable31">
    <w:name w:val="Plain Table 31"/>
    <w:basedOn w:val="TableNormal"/>
    <w:uiPriority w:val="43"/>
    <w:rsid w:val="00B8718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21">
    <w:name w:val="Plain Table 21"/>
    <w:basedOn w:val="TableNormal"/>
    <w:uiPriority w:val="42"/>
    <w:rsid w:val="00B8718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Emphasis">
    <w:name w:val="Emphasis"/>
    <w:basedOn w:val="DefaultParagraphFont"/>
    <w:uiPriority w:val="20"/>
    <w:qFormat/>
    <w:rsid w:val="00B92BBF"/>
    <w:rPr>
      <w:i/>
      <w:iCs/>
    </w:rPr>
  </w:style>
  <w:style w:type="character" w:customStyle="1" w:styleId="UnresolvedMention1">
    <w:name w:val="Unresolved Mention1"/>
    <w:basedOn w:val="DefaultParagraphFont"/>
    <w:uiPriority w:val="99"/>
    <w:semiHidden/>
    <w:unhideWhenUsed/>
    <w:rsid w:val="00A66A8D"/>
    <w:rPr>
      <w:color w:val="605E5C"/>
      <w:shd w:val="clear" w:color="auto" w:fill="E1DFDD"/>
    </w:rPr>
  </w:style>
  <w:style w:type="character" w:styleId="FollowedHyperlink">
    <w:name w:val="FollowedHyperlink"/>
    <w:basedOn w:val="DefaultParagraphFont"/>
    <w:uiPriority w:val="99"/>
    <w:semiHidden/>
    <w:unhideWhenUsed/>
    <w:rsid w:val="00A66A8D"/>
    <w:rPr>
      <w:color w:val="800080" w:themeColor="followedHyperlink"/>
      <w:u w:val="single"/>
    </w:rPr>
  </w:style>
  <w:style w:type="character" w:styleId="LineNumber">
    <w:name w:val="line number"/>
    <w:basedOn w:val="DefaultParagraphFont"/>
    <w:uiPriority w:val="99"/>
    <w:semiHidden/>
    <w:unhideWhenUsed/>
    <w:rsid w:val="00153F3F"/>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0">
    <w:basedOn w:val="TableNormal"/>
    <w:tblPr>
      <w:tblStyleRowBandSize w:val="1"/>
      <w:tblStyleColBandSize w:val="1"/>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1">
    <w:basedOn w:val="TableNormal"/>
    <w:tblPr>
      <w:tblStyleRowBandSize w:val="1"/>
      <w:tblStyleColBandSize w:val="1"/>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2">
    <w:basedOn w:val="TableNormal"/>
    <w:tblPr>
      <w:tblStyleRowBandSize w:val="1"/>
      <w:tblStyleColBandSize w:val="1"/>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7B193B"/>
    <w:rPr>
      <w:b/>
      <w:bCs/>
    </w:rPr>
  </w:style>
  <w:style w:type="character" w:customStyle="1" w:styleId="CommentSubjectChar">
    <w:name w:val="Comment Subject Char"/>
    <w:basedOn w:val="CommentTextChar"/>
    <w:link w:val="CommentSubject"/>
    <w:uiPriority w:val="99"/>
    <w:semiHidden/>
    <w:rsid w:val="007B193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0838">
      <w:bodyDiv w:val="1"/>
      <w:marLeft w:val="0"/>
      <w:marRight w:val="0"/>
      <w:marTop w:val="0"/>
      <w:marBottom w:val="0"/>
      <w:divBdr>
        <w:top w:val="none" w:sz="0" w:space="0" w:color="auto"/>
        <w:left w:val="none" w:sz="0" w:space="0" w:color="auto"/>
        <w:bottom w:val="none" w:sz="0" w:space="0" w:color="auto"/>
        <w:right w:val="none" w:sz="0" w:space="0" w:color="auto"/>
      </w:divBdr>
    </w:div>
    <w:div w:id="127404280">
      <w:bodyDiv w:val="1"/>
      <w:marLeft w:val="0"/>
      <w:marRight w:val="0"/>
      <w:marTop w:val="0"/>
      <w:marBottom w:val="0"/>
      <w:divBdr>
        <w:top w:val="none" w:sz="0" w:space="0" w:color="auto"/>
        <w:left w:val="none" w:sz="0" w:space="0" w:color="auto"/>
        <w:bottom w:val="none" w:sz="0" w:space="0" w:color="auto"/>
        <w:right w:val="none" w:sz="0" w:space="0" w:color="auto"/>
      </w:divBdr>
    </w:div>
    <w:div w:id="128324194">
      <w:bodyDiv w:val="1"/>
      <w:marLeft w:val="0"/>
      <w:marRight w:val="0"/>
      <w:marTop w:val="0"/>
      <w:marBottom w:val="0"/>
      <w:divBdr>
        <w:top w:val="none" w:sz="0" w:space="0" w:color="auto"/>
        <w:left w:val="none" w:sz="0" w:space="0" w:color="auto"/>
        <w:bottom w:val="none" w:sz="0" w:space="0" w:color="auto"/>
        <w:right w:val="none" w:sz="0" w:space="0" w:color="auto"/>
      </w:divBdr>
    </w:div>
    <w:div w:id="152835692">
      <w:bodyDiv w:val="1"/>
      <w:marLeft w:val="0"/>
      <w:marRight w:val="0"/>
      <w:marTop w:val="0"/>
      <w:marBottom w:val="0"/>
      <w:divBdr>
        <w:top w:val="none" w:sz="0" w:space="0" w:color="auto"/>
        <w:left w:val="none" w:sz="0" w:space="0" w:color="auto"/>
        <w:bottom w:val="none" w:sz="0" w:space="0" w:color="auto"/>
        <w:right w:val="none" w:sz="0" w:space="0" w:color="auto"/>
      </w:divBdr>
    </w:div>
    <w:div w:id="155583523">
      <w:bodyDiv w:val="1"/>
      <w:marLeft w:val="0"/>
      <w:marRight w:val="0"/>
      <w:marTop w:val="0"/>
      <w:marBottom w:val="0"/>
      <w:divBdr>
        <w:top w:val="none" w:sz="0" w:space="0" w:color="auto"/>
        <w:left w:val="none" w:sz="0" w:space="0" w:color="auto"/>
        <w:bottom w:val="none" w:sz="0" w:space="0" w:color="auto"/>
        <w:right w:val="none" w:sz="0" w:space="0" w:color="auto"/>
      </w:divBdr>
    </w:div>
    <w:div w:id="200632902">
      <w:bodyDiv w:val="1"/>
      <w:marLeft w:val="0"/>
      <w:marRight w:val="0"/>
      <w:marTop w:val="0"/>
      <w:marBottom w:val="0"/>
      <w:divBdr>
        <w:top w:val="none" w:sz="0" w:space="0" w:color="auto"/>
        <w:left w:val="none" w:sz="0" w:space="0" w:color="auto"/>
        <w:bottom w:val="none" w:sz="0" w:space="0" w:color="auto"/>
        <w:right w:val="none" w:sz="0" w:space="0" w:color="auto"/>
      </w:divBdr>
    </w:div>
    <w:div w:id="203101590">
      <w:bodyDiv w:val="1"/>
      <w:marLeft w:val="0"/>
      <w:marRight w:val="0"/>
      <w:marTop w:val="0"/>
      <w:marBottom w:val="0"/>
      <w:divBdr>
        <w:top w:val="none" w:sz="0" w:space="0" w:color="auto"/>
        <w:left w:val="none" w:sz="0" w:space="0" w:color="auto"/>
        <w:bottom w:val="none" w:sz="0" w:space="0" w:color="auto"/>
        <w:right w:val="none" w:sz="0" w:space="0" w:color="auto"/>
      </w:divBdr>
    </w:div>
    <w:div w:id="239872140">
      <w:bodyDiv w:val="1"/>
      <w:marLeft w:val="0"/>
      <w:marRight w:val="0"/>
      <w:marTop w:val="0"/>
      <w:marBottom w:val="0"/>
      <w:divBdr>
        <w:top w:val="none" w:sz="0" w:space="0" w:color="auto"/>
        <w:left w:val="none" w:sz="0" w:space="0" w:color="auto"/>
        <w:bottom w:val="none" w:sz="0" w:space="0" w:color="auto"/>
        <w:right w:val="none" w:sz="0" w:space="0" w:color="auto"/>
      </w:divBdr>
    </w:div>
    <w:div w:id="241910501">
      <w:bodyDiv w:val="1"/>
      <w:marLeft w:val="0"/>
      <w:marRight w:val="0"/>
      <w:marTop w:val="0"/>
      <w:marBottom w:val="0"/>
      <w:divBdr>
        <w:top w:val="none" w:sz="0" w:space="0" w:color="auto"/>
        <w:left w:val="none" w:sz="0" w:space="0" w:color="auto"/>
        <w:bottom w:val="none" w:sz="0" w:space="0" w:color="auto"/>
        <w:right w:val="none" w:sz="0" w:space="0" w:color="auto"/>
      </w:divBdr>
    </w:div>
    <w:div w:id="248126904">
      <w:bodyDiv w:val="1"/>
      <w:marLeft w:val="0"/>
      <w:marRight w:val="0"/>
      <w:marTop w:val="0"/>
      <w:marBottom w:val="0"/>
      <w:divBdr>
        <w:top w:val="none" w:sz="0" w:space="0" w:color="auto"/>
        <w:left w:val="none" w:sz="0" w:space="0" w:color="auto"/>
        <w:bottom w:val="none" w:sz="0" w:space="0" w:color="auto"/>
        <w:right w:val="none" w:sz="0" w:space="0" w:color="auto"/>
      </w:divBdr>
    </w:div>
    <w:div w:id="292488754">
      <w:bodyDiv w:val="1"/>
      <w:marLeft w:val="0"/>
      <w:marRight w:val="0"/>
      <w:marTop w:val="0"/>
      <w:marBottom w:val="0"/>
      <w:divBdr>
        <w:top w:val="none" w:sz="0" w:space="0" w:color="auto"/>
        <w:left w:val="none" w:sz="0" w:space="0" w:color="auto"/>
        <w:bottom w:val="none" w:sz="0" w:space="0" w:color="auto"/>
        <w:right w:val="none" w:sz="0" w:space="0" w:color="auto"/>
      </w:divBdr>
    </w:div>
    <w:div w:id="327366805">
      <w:bodyDiv w:val="1"/>
      <w:marLeft w:val="0"/>
      <w:marRight w:val="0"/>
      <w:marTop w:val="0"/>
      <w:marBottom w:val="0"/>
      <w:divBdr>
        <w:top w:val="none" w:sz="0" w:space="0" w:color="auto"/>
        <w:left w:val="none" w:sz="0" w:space="0" w:color="auto"/>
        <w:bottom w:val="none" w:sz="0" w:space="0" w:color="auto"/>
        <w:right w:val="none" w:sz="0" w:space="0" w:color="auto"/>
      </w:divBdr>
    </w:div>
    <w:div w:id="423654557">
      <w:bodyDiv w:val="1"/>
      <w:marLeft w:val="0"/>
      <w:marRight w:val="0"/>
      <w:marTop w:val="0"/>
      <w:marBottom w:val="0"/>
      <w:divBdr>
        <w:top w:val="none" w:sz="0" w:space="0" w:color="auto"/>
        <w:left w:val="none" w:sz="0" w:space="0" w:color="auto"/>
        <w:bottom w:val="none" w:sz="0" w:space="0" w:color="auto"/>
        <w:right w:val="none" w:sz="0" w:space="0" w:color="auto"/>
      </w:divBdr>
    </w:div>
    <w:div w:id="427310946">
      <w:bodyDiv w:val="1"/>
      <w:marLeft w:val="0"/>
      <w:marRight w:val="0"/>
      <w:marTop w:val="0"/>
      <w:marBottom w:val="0"/>
      <w:divBdr>
        <w:top w:val="none" w:sz="0" w:space="0" w:color="auto"/>
        <w:left w:val="none" w:sz="0" w:space="0" w:color="auto"/>
        <w:bottom w:val="none" w:sz="0" w:space="0" w:color="auto"/>
        <w:right w:val="none" w:sz="0" w:space="0" w:color="auto"/>
      </w:divBdr>
    </w:div>
    <w:div w:id="467209903">
      <w:bodyDiv w:val="1"/>
      <w:marLeft w:val="0"/>
      <w:marRight w:val="0"/>
      <w:marTop w:val="0"/>
      <w:marBottom w:val="0"/>
      <w:divBdr>
        <w:top w:val="none" w:sz="0" w:space="0" w:color="auto"/>
        <w:left w:val="none" w:sz="0" w:space="0" w:color="auto"/>
        <w:bottom w:val="none" w:sz="0" w:space="0" w:color="auto"/>
        <w:right w:val="none" w:sz="0" w:space="0" w:color="auto"/>
      </w:divBdr>
    </w:div>
    <w:div w:id="562177940">
      <w:bodyDiv w:val="1"/>
      <w:marLeft w:val="0"/>
      <w:marRight w:val="0"/>
      <w:marTop w:val="0"/>
      <w:marBottom w:val="0"/>
      <w:divBdr>
        <w:top w:val="none" w:sz="0" w:space="0" w:color="auto"/>
        <w:left w:val="none" w:sz="0" w:space="0" w:color="auto"/>
        <w:bottom w:val="none" w:sz="0" w:space="0" w:color="auto"/>
        <w:right w:val="none" w:sz="0" w:space="0" w:color="auto"/>
      </w:divBdr>
    </w:div>
    <w:div w:id="583414437">
      <w:bodyDiv w:val="1"/>
      <w:marLeft w:val="0"/>
      <w:marRight w:val="0"/>
      <w:marTop w:val="0"/>
      <w:marBottom w:val="0"/>
      <w:divBdr>
        <w:top w:val="none" w:sz="0" w:space="0" w:color="auto"/>
        <w:left w:val="none" w:sz="0" w:space="0" w:color="auto"/>
        <w:bottom w:val="none" w:sz="0" w:space="0" w:color="auto"/>
        <w:right w:val="none" w:sz="0" w:space="0" w:color="auto"/>
      </w:divBdr>
    </w:div>
    <w:div w:id="631206979">
      <w:bodyDiv w:val="1"/>
      <w:marLeft w:val="0"/>
      <w:marRight w:val="0"/>
      <w:marTop w:val="0"/>
      <w:marBottom w:val="0"/>
      <w:divBdr>
        <w:top w:val="none" w:sz="0" w:space="0" w:color="auto"/>
        <w:left w:val="none" w:sz="0" w:space="0" w:color="auto"/>
        <w:bottom w:val="none" w:sz="0" w:space="0" w:color="auto"/>
        <w:right w:val="none" w:sz="0" w:space="0" w:color="auto"/>
      </w:divBdr>
    </w:div>
    <w:div w:id="767582216">
      <w:bodyDiv w:val="1"/>
      <w:marLeft w:val="0"/>
      <w:marRight w:val="0"/>
      <w:marTop w:val="0"/>
      <w:marBottom w:val="0"/>
      <w:divBdr>
        <w:top w:val="none" w:sz="0" w:space="0" w:color="auto"/>
        <w:left w:val="none" w:sz="0" w:space="0" w:color="auto"/>
        <w:bottom w:val="none" w:sz="0" w:space="0" w:color="auto"/>
        <w:right w:val="none" w:sz="0" w:space="0" w:color="auto"/>
      </w:divBdr>
    </w:div>
    <w:div w:id="774519669">
      <w:bodyDiv w:val="1"/>
      <w:marLeft w:val="0"/>
      <w:marRight w:val="0"/>
      <w:marTop w:val="0"/>
      <w:marBottom w:val="0"/>
      <w:divBdr>
        <w:top w:val="none" w:sz="0" w:space="0" w:color="auto"/>
        <w:left w:val="none" w:sz="0" w:space="0" w:color="auto"/>
        <w:bottom w:val="none" w:sz="0" w:space="0" w:color="auto"/>
        <w:right w:val="none" w:sz="0" w:space="0" w:color="auto"/>
      </w:divBdr>
    </w:div>
    <w:div w:id="783577712">
      <w:bodyDiv w:val="1"/>
      <w:marLeft w:val="0"/>
      <w:marRight w:val="0"/>
      <w:marTop w:val="0"/>
      <w:marBottom w:val="0"/>
      <w:divBdr>
        <w:top w:val="none" w:sz="0" w:space="0" w:color="auto"/>
        <w:left w:val="none" w:sz="0" w:space="0" w:color="auto"/>
        <w:bottom w:val="none" w:sz="0" w:space="0" w:color="auto"/>
        <w:right w:val="none" w:sz="0" w:space="0" w:color="auto"/>
      </w:divBdr>
    </w:div>
    <w:div w:id="787745204">
      <w:bodyDiv w:val="1"/>
      <w:marLeft w:val="0"/>
      <w:marRight w:val="0"/>
      <w:marTop w:val="0"/>
      <w:marBottom w:val="0"/>
      <w:divBdr>
        <w:top w:val="none" w:sz="0" w:space="0" w:color="auto"/>
        <w:left w:val="none" w:sz="0" w:space="0" w:color="auto"/>
        <w:bottom w:val="none" w:sz="0" w:space="0" w:color="auto"/>
        <w:right w:val="none" w:sz="0" w:space="0" w:color="auto"/>
      </w:divBdr>
    </w:div>
    <w:div w:id="789127720">
      <w:bodyDiv w:val="1"/>
      <w:marLeft w:val="0"/>
      <w:marRight w:val="0"/>
      <w:marTop w:val="0"/>
      <w:marBottom w:val="0"/>
      <w:divBdr>
        <w:top w:val="none" w:sz="0" w:space="0" w:color="auto"/>
        <w:left w:val="none" w:sz="0" w:space="0" w:color="auto"/>
        <w:bottom w:val="none" w:sz="0" w:space="0" w:color="auto"/>
        <w:right w:val="none" w:sz="0" w:space="0" w:color="auto"/>
      </w:divBdr>
    </w:div>
    <w:div w:id="795677973">
      <w:bodyDiv w:val="1"/>
      <w:marLeft w:val="0"/>
      <w:marRight w:val="0"/>
      <w:marTop w:val="0"/>
      <w:marBottom w:val="0"/>
      <w:divBdr>
        <w:top w:val="none" w:sz="0" w:space="0" w:color="auto"/>
        <w:left w:val="none" w:sz="0" w:space="0" w:color="auto"/>
        <w:bottom w:val="none" w:sz="0" w:space="0" w:color="auto"/>
        <w:right w:val="none" w:sz="0" w:space="0" w:color="auto"/>
      </w:divBdr>
    </w:div>
    <w:div w:id="840043746">
      <w:bodyDiv w:val="1"/>
      <w:marLeft w:val="0"/>
      <w:marRight w:val="0"/>
      <w:marTop w:val="0"/>
      <w:marBottom w:val="0"/>
      <w:divBdr>
        <w:top w:val="none" w:sz="0" w:space="0" w:color="auto"/>
        <w:left w:val="none" w:sz="0" w:space="0" w:color="auto"/>
        <w:bottom w:val="none" w:sz="0" w:space="0" w:color="auto"/>
        <w:right w:val="none" w:sz="0" w:space="0" w:color="auto"/>
      </w:divBdr>
    </w:div>
    <w:div w:id="848177621">
      <w:bodyDiv w:val="1"/>
      <w:marLeft w:val="0"/>
      <w:marRight w:val="0"/>
      <w:marTop w:val="0"/>
      <w:marBottom w:val="0"/>
      <w:divBdr>
        <w:top w:val="none" w:sz="0" w:space="0" w:color="auto"/>
        <w:left w:val="none" w:sz="0" w:space="0" w:color="auto"/>
        <w:bottom w:val="none" w:sz="0" w:space="0" w:color="auto"/>
        <w:right w:val="none" w:sz="0" w:space="0" w:color="auto"/>
      </w:divBdr>
    </w:div>
    <w:div w:id="857043775">
      <w:bodyDiv w:val="1"/>
      <w:marLeft w:val="0"/>
      <w:marRight w:val="0"/>
      <w:marTop w:val="0"/>
      <w:marBottom w:val="0"/>
      <w:divBdr>
        <w:top w:val="none" w:sz="0" w:space="0" w:color="auto"/>
        <w:left w:val="none" w:sz="0" w:space="0" w:color="auto"/>
        <w:bottom w:val="none" w:sz="0" w:space="0" w:color="auto"/>
        <w:right w:val="none" w:sz="0" w:space="0" w:color="auto"/>
      </w:divBdr>
    </w:div>
    <w:div w:id="868294295">
      <w:bodyDiv w:val="1"/>
      <w:marLeft w:val="0"/>
      <w:marRight w:val="0"/>
      <w:marTop w:val="0"/>
      <w:marBottom w:val="0"/>
      <w:divBdr>
        <w:top w:val="none" w:sz="0" w:space="0" w:color="auto"/>
        <w:left w:val="none" w:sz="0" w:space="0" w:color="auto"/>
        <w:bottom w:val="none" w:sz="0" w:space="0" w:color="auto"/>
        <w:right w:val="none" w:sz="0" w:space="0" w:color="auto"/>
      </w:divBdr>
    </w:div>
    <w:div w:id="879435525">
      <w:bodyDiv w:val="1"/>
      <w:marLeft w:val="0"/>
      <w:marRight w:val="0"/>
      <w:marTop w:val="0"/>
      <w:marBottom w:val="0"/>
      <w:divBdr>
        <w:top w:val="none" w:sz="0" w:space="0" w:color="auto"/>
        <w:left w:val="none" w:sz="0" w:space="0" w:color="auto"/>
        <w:bottom w:val="none" w:sz="0" w:space="0" w:color="auto"/>
        <w:right w:val="none" w:sz="0" w:space="0" w:color="auto"/>
      </w:divBdr>
    </w:div>
    <w:div w:id="940837111">
      <w:bodyDiv w:val="1"/>
      <w:marLeft w:val="0"/>
      <w:marRight w:val="0"/>
      <w:marTop w:val="0"/>
      <w:marBottom w:val="0"/>
      <w:divBdr>
        <w:top w:val="none" w:sz="0" w:space="0" w:color="auto"/>
        <w:left w:val="none" w:sz="0" w:space="0" w:color="auto"/>
        <w:bottom w:val="none" w:sz="0" w:space="0" w:color="auto"/>
        <w:right w:val="none" w:sz="0" w:space="0" w:color="auto"/>
      </w:divBdr>
    </w:div>
    <w:div w:id="1043485232">
      <w:bodyDiv w:val="1"/>
      <w:marLeft w:val="0"/>
      <w:marRight w:val="0"/>
      <w:marTop w:val="0"/>
      <w:marBottom w:val="0"/>
      <w:divBdr>
        <w:top w:val="none" w:sz="0" w:space="0" w:color="auto"/>
        <w:left w:val="none" w:sz="0" w:space="0" w:color="auto"/>
        <w:bottom w:val="none" w:sz="0" w:space="0" w:color="auto"/>
        <w:right w:val="none" w:sz="0" w:space="0" w:color="auto"/>
      </w:divBdr>
    </w:div>
    <w:div w:id="1048410035">
      <w:bodyDiv w:val="1"/>
      <w:marLeft w:val="0"/>
      <w:marRight w:val="0"/>
      <w:marTop w:val="0"/>
      <w:marBottom w:val="0"/>
      <w:divBdr>
        <w:top w:val="none" w:sz="0" w:space="0" w:color="auto"/>
        <w:left w:val="none" w:sz="0" w:space="0" w:color="auto"/>
        <w:bottom w:val="none" w:sz="0" w:space="0" w:color="auto"/>
        <w:right w:val="none" w:sz="0" w:space="0" w:color="auto"/>
      </w:divBdr>
    </w:div>
    <w:div w:id="1049307851">
      <w:bodyDiv w:val="1"/>
      <w:marLeft w:val="0"/>
      <w:marRight w:val="0"/>
      <w:marTop w:val="0"/>
      <w:marBottom w:val="0"/>
      <w:divBdr>
        <w:top w:val="none" w:sz="0" w:space="0" w:color="auto"/>
        <w:left w:val="none" w:sz="0" w:space="0" w:color="auto"/>
        <w:bottom w:val="none" w:sz="0" w:space="0" w:color="auto"/>
        <w:right w:val="none" w:sz="0" w:space="0" w:color="auto"/>
      </w:divBdr>
    </w:div>
    <w:div w:id="1051341037">
      <w:bodyDiv w:val="1"/>
      <w:marLeft w:val="0"/>
      <w:marRight w:val="0"/>
      <w:marTop w:val="0"/>
      <w:marBottom w:val="0"/>
      <w:divBdr>
        <w:top w:val="none" w:sz="0" w:space="0" w:color="auto"/>
        <w:left w:val="none" w:sz="0" w:space="0" w:color="auto"/>
        <w:bottom w:val="none" w:sz="0" w:space="0" w:color="auto"/>
        <w:right w:val="none" w:sz="0" w:space="0" w:color="auto"/>
      </w:divBdr>
    </w:div>
    <w:div w:id="1058895872">
      <w:bodyDiv w:val="1"/>
      <w:marLeft w:val="0"/>
      <w:marRight w:val="0"/>
      <w:marTop w:val="0"/>
      <w:marBottom w:val="0"/>
      <w:divBdr>
        <w:top w:val="none" w:sz="0" w:space="0" w:color="auto"/>
        <w:left w:val="none" w:sz="0" w:space="0" w:color="auto"/>
        <w:bottom w:val="none" w:sz="0" w:space="0" w:color="auto"/>
        <w:right w:val="none" w:sz="0" w:space="0" w:color="auto"/>
      </w:divBdr>
    </w:div>
    <w:div w:id="1088841249">
      <w:bodyDiv w:val="1"/>
      <w:marLeft w:val="0"/>
      <w:marRight w:val="0"/>
      <w:marTop w:val="0"/>
      <w:marBottom w:val="0"/>
      <w:divBdr>
        <w:top w:val="none" w:sz="0" w:space="0" w:color="auto"/>
        <w:left w:val="none" w:sz="0" w:space="0" w:color="auto"/>
        <w:bottom w:val="none" w:sz="0" w:space="0" w:color="auto"/>
        <w:right w:val="none" w:sz="0" w:space="0" w:color="auto"/>
      </w:divBdr>
    </w:div>
    <w:div w:id="1268542351">
      <w:bodyDiv w:val="1"/>
      <w:marLeft w:val="0"/>
      <w:marRight w:val="0"/>
      <w:marTop w:val="0"/>
      <w:marBottom w:val="0"/>
      <w:divBdr>
        <w:top w:val="none" w:sz="0" w:space="0" w:color="auto"/>
        <w:left w:val="none" w:sz="0" w:space="0" w:color="auto"/>
        <w:bottom w:val="none" w:sz="0" w:space="0" w:color="auto"/>
        <w:right w:val="none" w:sz="0" w:space="0" w:color="auto"/>
      </w:divBdr>
    </w:div>
    <w:div w:id="1283996772">
      <w:bodyDiv w:val="1"/>
      <w:marLeft w:val="0"/>
      <w:marRight w:val="0"/>
      <w:marTop w:val="0"/>
      <w:marBottom w:val="0"/>
      <w:divBdr>
        <w:top w:val="none" w:sz="0" w:space="0" w:color="auto"/>
        <w:left w:val="none" w:sz="0" w:space="0" w:color="auto"/>
        <w:bottom w:val="none" w:sz="0" w:space="0" w:color="auto"/>
        <w:right w:val="none" w:sz="0" w:space="0" w:color="auto"/>
      </w:divBdr>
    </w:div>
    <w:div w:id="1317681830">
      <w:bodyDiv w:val="1"/>
      <w:marLeft w:val="0"/>
      <w:marRight w:val="0"/>
      <w:marTop w:val="0"/>
      <w:marBottom w:val="0"/>
      <w:divBdr>
        <w:top w:val="none" w:sz="0" w:space="0" w:color="auto"/>
        <w:left w:val="none" w:sz="0" w:space="0" w:color="auto"/>
        <w:bottom w:val="none" w:sz="0" w:space="0" w:color="auto"/>
        <w:right w:val="none" w:sz="0" w:space="0" w:color="auto"/>
      </w:divBdr>
    </w:div>
    <w:div w:id="1349134119">
      <w:bodyDiv w:val="1"/>
      <w:marLeft w:val="0"/>
      <w:marRight w:val="0"/>
      <w:marTop w:val="0"/>
      <w:marBottom w:val="0"/>
      <w:divBdr>
        <w:top w:val="none" w:sz="0" w:space="0" w:color="auto"/>
        <w:left w:val="none" w:sz="0" w:space="0" w:color="auto"/>
        <w:bottom w:val="none" w:sz="0" w:space="0" w:color="auto"/>
        <w:right w:val="none" w:sz="0" w:space="0" w:color="auto"/>
      </w:divBdr>
    </w:div>
    <w:div w:id="1372069871">
      <w:bodyDiv w:val="1"/>
      <w:marLeft w:val="0"/>
      <w:marRight w:val="0"/>
      <w:marTop w:val="0"/>
      <w:marBottom w:val="0"/>
      <w:divBdr>
        <w:top w:val="none" w:sz="0" w:space="0" w:color="auto"/>
        <w:left w:val="none" w:sz="0" w:space="0" w:color="auto"/>
        <w:bottom w:val="none" w:sz="0" w:space="0" w:color="auto"/>
        <w:right w:val="none" w:sz="0" w:space="0" w:color="auto"/>
      </w:divBdr>
    </w:div>
    <w:div w:id="1418869423">
      <w:bodyDiv w:val="1"/>
      <w:marLeft w:val="0"/>
      <w:marRight w:val="0"/>
      <w:marTop w:val="0"/>
      <w:marBottom w:val="0"/>
      <w:divBdr>
        <w:top w:val="none" w:sz="0" w:space="0" w:color="auto"/>
        <w:left w:val="none" w:sz="0" w:space="0" w:color="auto"/>
        <w:bottom w:val="none" w:sz="0" w:space="0" w:color="auto"/>
        <w:right w:val="none" w:sz="0" w:space="0" w:color="auto"/>
      </w:divBdr>
    </w:div>
    <w:div w:id="1437017720">
      <w:bodyDiv w:val="1"/>
      <w:marLeft w:val="0"/>
      <w:marRight w:val="0"/>
      <w:marTop w:val="0"/>
      <w:marBottom w:val="0"/>
      <w:divBdr>
        <w:top w:val="none" w:sz="0" w:space="0" w:color="auto"/>
        <w:left w:val="none" w:sz="0" w:space="0" w:color="auto"/>
        <w:bottom w:val="none" w:sz="0" w:space="0" w:color="auto"/>
        <w:right w:val="none" w:sz="0" w:space="0" w:color="auto"/>
      </w:divBdr>
    </w:div>
    <w:div w:id="1439719725">
      <w:bodyDiv w:val="1"/>
      <w:marLeft w:val="0"/>
      <w:marRight w:val="0"/>
      <w:marTop w:val="0"/>
      <w:marBottom w:val="0"/>
      <w:divBdr>
        <w:top w:val="none" w:sz="0" w:space="0" w:color="auto"/>
        <w:left w:val="none" w:sz="0" w:space="0" w:color="auto"/>
        <w:bottom w:val="none" w:sz="0" w:space="0" w:color="auto"/>
        <w:right w:val="none" w:sz="0" w:space="0" w:color="auto"/>
      </w:divBdr>
    </w:div>
    <w:div w:id="1487941205">
      <w:bodyDiv w:val="1"/>
      <w:marLeft w:val="0"/>
      <w:marRight w:val="0"/>
      <w:marTop w:val="0"/>
      <w:marBottom w:val="0"/>
      <w:divBdr>
        <w:top w:val="none" w:sz="0" w:space="0" w:color="auto"/>
        <w:left w:val="none" w:sz="0" w:space="0" w:color="auto"/>
        <w:bottom w:val="none" w:sz="0" w:space="0" w:color="auto"/>
        <w:right w:val="none" w:sz="0" w:space="0" w:color="auto"/>
      </w:divBdr>
    </w:div>
    <w:div w:id="1490243779">
      <w:bodyDiv w:val="1"/>
      <w:marLeft w:val="0"/>
      <w:marRight w:val="0"/>
      <w:marTop w:val="0"/>
      <w:marBottom w:val="0"/>
      <w:divBdr>
        <w:top w:val="none" w:sz="0" w:space="0" w:color="auto"/>
        <w:left w:val="none" w:sz="0" w:space="0" w:color="auto"/>
        <w:bottom w:val="none" w:sz="0" w:space="0" w:color="auto"/>
        <w:right w:val="none" w:sz="0" w:space="0" w:color="auto"/>
      </w:divBdr>
    </w:div>
    <w:div w:id="1521043795">
      <w:bodyDiv w:val="1"/>
      <w:marLeft w:val="0"/>
      <w:marRight w:val="0"/>
      <w:marTop w:val="0"/>
      <w:marBottom w:val="0"/>
      <w:divBdr>
        <w:top w:val="none" w:sz="0" w:space="0" w:color="auto"/>
        <w:left w:val="none" w:sz="0" w:space="0" w:color="auto"/>
        <w:bottom w:val="none" w:sz="0" w:space="0" w:color="auto"/>
        <w:right w:val="none" w:sz="0" w:space="0" w:color="auto"/>
      </w:divBdr>
    </w:div>
    <w:div w:id="1529368953">
      <w:bodyDiv w:val="1"/>
      <w:marLeft w:val="0"/>
      <w:marRight w:val="0"/>
      <w:marTop w:val="0"/>
      <w:marBottom w:val="0"/>
      <w:divBdr>
        <w:top w:val="none" w:sz="0" w:space="0" w:color="auto"/>
        <w:left w:val="none" w:sz="0" w:space="0" w:color="auto"/>
        <w:bottom w:val="none" w:sz="0" w:space="0" w:color="auto"/>
        <w:right w:val="none" w:sz="0" w:space="0" w:color="auto"/>
      </w:divBdr>
    </w:div>
    <w:div w:id="1533106266">
      <w:bodyDiv w:val="1"/>
      <w:marLeft w:val="0"/>
      <w:marRight w:val="0"/>
      <w:marTop w:val="0"/>
      <w:marBottom w:val="0"/>
      <w:divBdr>
        <w:top w:val="none" w:sz="0" w:space="0" w:color="auto"/>
        <w:left w:val="none" w:sz="0" w:space="0" w:color="auto"/>
        <w:bottom w:val="none" w:sz="0" w:space="0" w:color="auto"/>
        <w:right w:val="none" w:sz="0" w:space="0" w:color="auto"/>
      </w:divBdr>
    </w:div>
    <w:div w:id="1617250665">
      <w:bodyDiv w:val="1"/>
      <w:marLeft w:val="0"/>
      <w:marRight w:val="0"/>
      <w:marTop w:val="0"/>
      <w:marBottom w:val="0"/>
      <w:divBdr>
        <w:top w:val="none" w:sz="0" w:space="0" w:color="auto"/>
        <w:left w:val="none" w:sz="0" w:space="0" w:color="auto"/>
        <w:bottom w:val="none" w:sz="0" w:space="0" w:color="auto"/>
        <w:right w:val="none" w:sz="0" w:space="0" w:color="auto"/>
      </w:divBdr>
    </w:div>
    <w:div w:id="1621379192">
      <w:bodyDiv w:val="1"/>
      <w:marLeft w:val="0"/>
      <w:marRight w:val="0"/>
      <w:marTop w:val="0"/>
      <w:marBottom w:val="0"/>
      <w:divBdr>
        <w:top w:val="none" w:sz="0" w:space="0" w:color="auto"/>
        <w:left w:val="none" w:sz="0" w:space="0" w:color="auto"/>
        <w:bottom w:val="none" w:sz="0" w:space="0" w:color="auto"/>
        <w:right w:val="none" w:sz="0" w:space="0" w:color="auto"/>
      </w:divBdr>
    </w:div>
    <w:div w:id="1657950616">
      <w:bodyDiv w:val="1"/>
      <w:marLeft w:val="0"/>
      <w:marRight w:val="0"/>
      <w:marTop w:val="0"/>
      <w:marBottom w:val="0"/>
      <w:divBdr>
        <w:top w:val="none" w:sz="0" w:space="0" w:color="auto"/>
        <w:left w:val="none" w:sz="0" w:space="0" w:color="auto"/>
        <w:bottom w:val="none" w:sz="0" w:space="0" w:color="auto"/>
        <w:right w:val="none" w:sz="0" w:space="0" w:color="auto"/>
      </w:divBdr>
    </w:div>
    <w:div w:id="1658729488">
      <w:bodyDiv w:val="1"/>
      <w:marLeft w:val="0"/>
      <w:marRight w:val="0"/>
      <w:marTop w:val="0"/>
      <w:marBottom w:val="0"/>
      <w:divBdr>
        <w:top w:val="none" w:sz="0" w:space="0" w:color="auto"/>
        <w:left w:val="none" w:sz="0" w:space="0" w:color="auto"/>
        <w:bottom w:val="none" w:sz="0" w:space="0" w:color="auto"/>
        <w:right w:val="none" w:sz="0" w:space="0" w:color="auto"/>
      </w:divBdr>
    </w:div>
    <w:div w:id="1765034037">
      <w:bodyDiv w:val="1"/>
      <w:marLeft w:val="0"/>
      <w:marRight w:val="0"/>
      <w:marTop w:val="0"/>
      <w:marBottom w:val="0"/>
      <w:divBdr>
        <w:top w:val="none" w:sz="0" w:space="0" w:color="auto"/>
        <w:left w:val="none" w:sz="0" w:space="0" w:color="auto"/>
        <w:bottom w:val="none" w:sz="0" w:space="0" w:color="auto"/>
        <w:right w:val="none" w:sz="0" w:space="0" w:color="auto"/>
      </w:divBdr>
    </w:div>
    <w:div w:id="1770587425">
      <w:bodyDiv w:val="1"/>
      <w:marLeft w:val="0"/>
      <w:marRight w:val="0"/>
      <w:marTop w:val="0"/>
      <w:marBottom w:val="0"/>
      <w:divBdr>
        <w:top w:val="none" w:sz="0" w:space="0" w:color="auto"/>
        <w:left w:val="none" w:sz="0" w:space="0" w:color="auto"/>
        <w:bottom w:val="none" w:sz="0" w:space="0" w:color="auto"/>
        <w:right w:val="none" w:sz="0" w:space="0" w:color="auto"/>
      </w:divBdr>
    </w:div>
    <w:div w:id="1783918911">
      <w:bodyDiv w:val="1"/>
      <w:marLeft w:val="0"/>
      <w:marRight w:val="0"/>
      <w:marTop w:val="0"/>
      <w:marBottom w:val="0"/>
      <w:divBdr>
        <w:top w:val="none" w:sz="0" w:space="0" w:color="auto"/>
        <w:left w:val="none" w:sz="0" w:space="0" w:color="auto"/>
        <w:bottom w:val="none" w:sz="0" w:space="0" w:color="auto"/>
        <w:right w:val="none" w:sz="0" w:space="0" w:color="auto"/>
      </w:divBdr>
    </w:div>
    <w:div w:id="1796409635">
      <w:bodyDiv w:val="1"/>
      <w:marLeft w:val="0"/>
      <w:marRight w:val="0"/>
      <w:marTop w:val="0"/>
      <w:marBottom w:val="0"/>
      <w:divBdr>
        <w:top w:val="none" w:sz="0" w:space="0" w:color="auto"/>
        <w:left w:val="none" w:sz="0" w:space="0" w:color="auto"/>
        <w:bottom w:val="none" w:sz="0" w:space="0" w:color="auto"/>
        <w:right w:val="none" w:sz="0" w:space="0" w:color="auto"/>
      </w:divBdr>
    </w:div>
    <w:div w:id="1799372251">
      <w:bodyDiv w:val="1"/>
      <w:marLeft w:val="0"/>
      <w:marRight w:val="0"/>
      <w:marTop w:val="0"/>
      <w:marBottom w:val="0"/>
      <w:divBdr>
        <w:top w:val="none" w:sz="0" w:space="0" w:color="auto"/>
        <w:left w:val="none" w:sz="0" w:space="0" w:color="auto"/>
        <w:bottom w:val="none" w:sz="0" w:space="0" w:color="auto"/>
        <w:right w:val="none" w:sz="0" w:space="0" w:color="auto"/>
      </w:divBdr>
    </w:div>
    <w:div w:id="1890266867">
      <w:bodyDiv w:val="1"/>
      <w:marLeft w:val="0"/>
      <w:marRight w:val="0"/>
      <w:marTop w:val="0"/>
      <w:marBottom w:val="0"/>
      <w:divBdr>
        <w:top w:val="none" w:sz="0" w:space="0" w:color="auto"/>
        <w:left w:val="none" w:sz="0" w:space="0" w:color="auto"/>
        <w:bottom w:val="none" w:sz="0" w:space="0" w:color="auto"/>
        <w:right w:val="none" w:sz="0" w:space="0" w:color="auto"/>
      </w:divBdr>
    </w:div>
    <w:div w:id="1919945046">
      <w:bodyDiv w:val="1"/>
      <w:marLeft w:val="0"/>
      <w:marRight w:val="0"/>
      <w:marTop w:val="0"/>
      <w:marBottom w:val="0"/>
      <w:divBdr>
        <w:top w:val="none" w:sz="0" w:space="0" w:color="auto"/>
        <w:left w:val="none" w:sz="0" w:space="0" w:color="auto"/>
        <w:bottom w:val="none" w:sz="0" w:space="0" w:color="auto"/>
        <w:right w:val="none" w:sz="0" w:space="0" w:color="auto"/>
      </w:divBdr>
    </w:div>
    <w:div w:id="1940748736">
      <w:bodyDiv w:val="1"/>
      <w:marLeft w:val="0"/>
      <w:marRight w:val="0"/>
      <w:marTop w:val="0"/>
      <w:marBottom w:val="0"/>
      <w:divBdr>
        <w:top w:val="none" w:sz="0" w:space="0" w:color="auto"/>
        <w:left w:val="none" w:sz="0" w:space="0" w:color="auto"/>
        <w:bottom w:val="none" w:sz="0" w:space="0" w:color="auto"/>
        <w:right w:val="none" w:sz="0" w:space="0" w:color="auto"/>
      </w:divBdr>
    </w:div>
    <w:div w:id="1950121759">
      <w:bodyDiv w:val="1"/>
      <w:marLeft w:val="0"/>
      <w:marRight w:val="0"/>
      <w:marTop w:val="0"/>
      <w:marBottom w:val="0"/>
      <w:divBdr>
        <w:top w:val="none" w:sz="0" w:space="0" w:color="auto"/>
        <w:left w:val="none" w:sz="0" w:space="0" w:color="auto"/>
        <w:bottom w:val="none" w:sz="0" w:space="0" w:color="auto"/>
        <w:right w:val="none" w:sz="0" w:space="0" w:color="auto"/>
      </w:divBdr>
    </w:div>
    <w:div w:id="2022009695">
      <w:bodyDiv w:val="1"/>
      <w:marLeft w:val="0"/>
      <w:marRight w:val="0"/>
      <w:marTop w:val="0"/>
      <w:marBottom w:val="0"/>
      <w:divBdr>
        <w:top w:val="none" w:sz="0" w:space="0" w:color="auto"/>
        <w:left w:val="none" w:sz="0" w:space="0" w:color="auto"/>
        <w:bottom w:val="none" w:sz="0" w:space="0" w:color="auto"/>
        <w:right w:val="none" w:sz="0" w:space="0" w:color="auto"/>
      </w:divBdr>
    </w:div>
    <w:div w:id="2042825786">
      <w:bodyDiv w:val="1"/>
      <w:marLeft w:val="0"/>
      <w:marRight w:val="0"/>
      <w:marTop w:val="0"/>
      <w:marBottom w:val="0"/>
      <w:divBdr>
        <w:top w:val="none" w:sz="0" w:space="0" w:color="auto"/>
        <w:left w:val="none" w:sz="0" w:space="0" w:color="auto"/>
        <w:bottom w:val="none" w:sz="0" w:space="0" w:color="auto"/>
        <w:right w:val="none" w:sz="0" w:space="0" w:color="auto"/>
      </w:divBdr>
    </w:div>
    <w:div w:id="2043632277">
      <w:bodyDiv w:val="1"/>
      <w:marLeft w:val="0"/>
      <w:marRight w:val="0"/>
      <w:marTop w:val="0"/>
      <w:marBottom w:val="0"/>
      <w:divBdr>
        <w:top w:val="none" w:sz="0" w:space="0" w:color="auto"/>
        <w:left w:val="none" w:sz="0" w:space="0" w:color="auto"/>
        <w:bottom w:val="none" w:sz="0" w:space="0" w:color="auto"/>
        <w:right w:val="none" w:sz="0" w:space="0" w:color="auto"/>
      </w:divBdr>
    </w:div>
    <w:div w:id="2105610317">
      <w:bodyDiv w:val="1"/>
      <w:marLeft w:val="0"/>
      <w:marRight w:val="0"/>
      <w:marTop w:val="0"/>
      <w:marBottom w:val="0"/>
      <w:divBdr>
        <w:top w:val="none" w:sz="0" w:space="0" w:color="auto"/>
        <w:left w:val="none" w:sz="0" w:space="0" w:color="auto"/>
        <w:bottom w:val="none" w:sz="0" w:space="0" w:color="auto"/>
        <w:right w:val="none" w:sz="0" w:space="0" w:color="auto"/>
      </w:divBdr>
    </w:div>
    <w:div w:id="2125952978">
      <w:bodyDiv w:val="1"/>
      <w:marLeft w:val="0"/>
      <w:marRight w:val="0"/>
      <w:marTop w:val="0"/>
      <w:marBottom w:val="0"/>
      <w:divBdr>
        <w:top w:val="none" w:sz="0" w:space="0" w:color="auto"/>
        <w:left w:val="none" w:sz="0" w:space="0" w:color="auto"/>
        <w:bottom w:val="none" w:sz="0" w:space="0" w:color="auto"/>
        <w:right w:val="none" w:sz="0" w:space="0" w:color="auto"/>
      </w:divBdr>
    </w:div>
    <w:div w:id="2137092730">
      <w:bodyDiv w:val="1"/>
      <w:marLeft w:val="0"/>
      <w:marRight w:val="0"/>
      <w:marTop w:val="0"/>
      <w:marBottom w:val="0"/>
      <w:divBdr>
        <w:top w:val="none" w:sz="0" w:space="0" w:color="auto"/>
        <w:left w:val="none" w:sz="0" w:space="0" w:color="auto"/>
        <w:bottom w:val="none" w:sz="0" w:space="0" w:color="auto"/>
        <w:right w:val="none" w:sz="0" w:space="0" w:color="auto"/>
      </w:divBdr>
    </w:div>
    <w:div w:id="21371362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s10551-021-04976-2" TargetMode="External"/><Relationship Id="rId18" Type="http://schemas.openxmlformats.org/officeDocument/2006/relationships/hyperlink" Target="https://doi.org/10.1016/j.ijhm.2022.103374" TargetMode="External"/><Relationship Id="rId26" Type="http://schemas.openxmlformats.org/officeDocument/2006/relationships/hyperlink" Target="https://doi.org/10.3389/fpsyg.2016.00144" TargetMode="External"/><Relationship Id="rId39" Type="http://schemas.openxmlformats.org/officeDocument/2006/relationships/hyperlink" Target="https://esreview.soc.cas.cz/getrevsrc.php?identification=public&amp;mag=csr&amp;raid=494&amp;type=fin&amp;ver=4" TargetMode="External"/><Relationship Id="rId21" Type="http://schemas.openxmlformats.org/officeDocument/2006/relationships/hyperlink" Target="https://doi.org/10.1016/j.pubrev.2018.07.002" TargetMode="External"/><Relationship Id="rId34" Type="http://schemas.openxmlformats.org/officeDocument/2006/relationships/hyperlink" Target="https://repository.uwtsd.ac.uk/id/eprint/3649/1/Hameed_A_DBA_Thesis.pdf" TargetMode="External"/><Relationship Id="rId42" Type="http://schemas.openxmlformats.org/officeDocument/2006/relationships/hyperlink" Target="https://doi.org/10.1016/j.jvb.2018.07.004" TargetMode="External"/><Relationship Id="rId47" Type="http://schemas.openxmlformats.org/officeDocument/2006/relationships/hyperlink" Target="https://doi.org/10.5465/amr.1995.9508080331" TargetMode="External"/><Relationship Id="rId50" Type="http://schemas.openxmlformats.org/officeDocument/2006/relationships/hyperlink" Target="https://doi.org/10.33087/ekonomis.v8i2.2141" TargetMode="External"/><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doi.org/10.1016/j.jbusres.2019.06.031" TargetMode="External"/><Relationship Id="rId29" Type="http://schemas.openxmlformats.org/officeDocument/2006/relationships/hyperlink" Target="https://doi.org/10.1037/11701-014" TargetMode="External"/><Relationship Id="rId11" Type="http://schemas.openxmlformats.org/officeDocument/2006/relationships/image" Target="media/image2.png"/><Relationship Id="rId24" Type="http://schemas.openxmlformats.org/officeDocument/2006/relationships/hyperlink" Target="https://doi.org/10.1002/job.2488" TargetMode="External"/><Relationship Id="rId32" Type="http://schemas.openxmlformats.org/officeDocument/2006/relationships/hyperlink" Target="https://doi.org/10.1016/j.jbusres.2021.05.045" TargetMode="External"/><Relationship Id="rId37" Type="http://schemas.openxmlformats.org/officeDocument/2006/relationships/hyperlink" Target="https://doi.org/10.1177/1086026618790151" TargetMode="External"/><Relationship Id="rId40" Type="http://schemas.openxmlformats.org/officeDocument/2006/relationships/hyperlink" Target="https://link.springer.com/article/10.1007/s10551-010-0440-2" TargetMode="External"/><Relationship Id="rId45" Type="http://schemas.openxmlformats.org/officeDocument/2006/relationships/hyperlink" Target="https://doi.org/10.1016/j.jbusres.2016.03.049" TargetMode="External"/><Relationship Id="rId53"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image" Target="media/image1.png"/><Relationship Id="rId19" Type="http://schemas.openxmlformats.org/officeDocument/2006/relationships/hyperlink" Target="https://doi.org/10.1007/s10551-017-3656-6" TargetMode="External"/><Relationship Id="rId31" Type="http://schemas.openxmlformats.org/officeDocument/2006/relationships/hyperlink" Target="https://doi.org/10.1016/j.jbusres.2021.05.045" TargetMode="External"/><Relationship Id="rId44" Type="http://schemas.openxmlformats.org/officeDocument/2006/relationships/hyperlink" Target="https://doi.org/10.1007/s11625-018-0627-5" TargetMode="External"/><Relationship Id="rId52"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damelina@ciputra.ac.id" TargetMode="External"/><Relationship Id="rId14" Type="http://schemas.openxmlformats.org/officeDocument/2006/relationships/hyperlink" Target="https://doi.org/10.1007/s10551-021-04976-2" TargetMode="External"/><Relationship Id="rId22" Type="http://schemas.openxmlformats.org/officeDocument/2006/relationships/hyperlink" Target="https://digilib.itb.ac.id/assets/files/2024/TmFiaWxsYSBWeW5rYSBGYWtoaXJhIF8yOTEyMjM1OS5wZGY.pdf" TargetMode="External"/><Relationship Id="rId27" Type="http://schemas.openxmlformats.org/officeDocument/2006/relationships/hyperlink" Target="https://doi.org/10.3389/fpsyg.2016.00144" TargetMode="External"/><Relationship Id="rId30" Type="http://schemas.openxmlformats.org/officeDocument/2006/relationships/hyperlink" Target="https://doi.org/10.1037/11701-014" TargetMode="External"/><Relationship Id="rId35" Type="http://schemas.openxmlformats.org/officeDocument/2006/relationships/hyperlink" Target="https://doi.org/10.3390/su12114561" TargetMode="External"/><Relationship Id="rId43" Type="http://schemas.openxmlformats.org/officeDocument/2006/relationships/hyperlink" Target="https://doi.org/10.1007/s11625-018-0627-5" TargetMode="External"/><Relationship Id="rId48" Type="http://schemas.openxmlformats.org/officeDocument/2006/relationships/hyperlink" Target="https://sk.sagepub.com/cases/skpromo/IPM6xE/managing-talent-culture-and-social-responsibility-at-brilliant-games" TargetMode="External"/><Relationship Id="rId8" Type="http://schemas.openxmlformats.org/officeDocument/2006/relationships/endnotes" Target="endnotes.xml"/><Relationship Id="rId51" Type="http://schemas.openxmlformats.org/officeDocument/2006/relationships/hyperlink" Target="https://doi.org/10.33087/ekonomis.v8i2.2141" TargetMode="External"/><Relationship Id="rId3" Type="http://schemas.openxmlformats.org/officeDocument/2006/relationships/numbering" Target="numbering.xml"/><Relationship Id="rId12" Type="http://schemas.openxmlformats.org/officeDocument/2006/relationships/image" Target="media/image3.jpg"/><Relationship Id="rId17" Type="http://schemas.openxmlformats.org/officeDocument/2006/relationships/hyperlink" Target="https://doi.org/10.1016/j.ijhm.2022.103374" TargetMode="External"/><Relationship Id="rId25" Type="http://schemas.openxmlformats.org/officeDocument/2006/relationships/hyperlink" Target="https://doi.org/10.5465/amj.2014.0849" TargetMode="External"/><Relationship Id="rId33" Type="http://schemas.openxmlformats.org/officeDocument/2006/relationships/hyperlink" Target="https://repository.uwtsd.ac.uk/id/eprint/3649/1/Hameed_A_DBA_Thesis.pdf" TargetMode="External"/><Relationship Id="rId38" Type="http://schemas.openxmlformats.org/officeDocument/2006/relationships/hyperlink" Target="https://doi.org/10.1177/1086026618790151" TargetMode="External"/><Relationship Id="rId46" Type="http://schemas.openxmlformats.org/officeDocument/2006/relationships/hyperlink" Target="https://doi.org/10.1177/1069072711436160" TargetMode="External"/><Relationship Id="rId20" Type="http://schemas.openxmlformats.org/officeDocument/2006/relationships/hyperlink" Target="https://doi.org/10.1007/s10551-017-3656-6" TargetMode="External"/><Relationship Id="rId41" Type="http://schemas.openxmlformats.org/officeDocument/2006/relationships/hyperlink" Target="https://doi.org/10.1016/j.jvb.2018.07.004"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doi.org/10.3389/fpsyg.2016.00071" TargetMode="External"/><Relationship Id="rId23" Type="http://schemas.openxmlformats.org/officeDocument/2006/relationships/hyperlink" Target="https://digilib.itb.ac.id/assets/files/2024/TmFiaWxsYSBWeW5rYSBGYWtoaXJhIF8yOTEyMjM1OS5wZGY.pdf" TargetMode="External"/><Relationship Id="rId28" Type="http://schemas.openxmlformats.org/officeDocument/2006/relationships/hyperlink" Target="http://rave.ohiolink.edu/etdc/view?acc_num=case1247063961" TargetMode="External"/><Relationship Id="rId36" Type="http://schemas.openxmlformats.org/officeDocument/2006/relationships/hyperlink" Target="https://doi.org/10.3390/su12114561" TargetMode="External"/><Relationship Id="rId49" Type="http://schemas.openxmlformats.org/officeDocument/2006/relationships/hyperlink" Target="https://sk.sagepub.com/cases/skpromo/IPM6xE/managing-talent-culture-and-social-responsibility-at-brilliant-game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ZHIowcVrcRXnGi8ihqW78g4HAw==">CgMxLjAaJwoBMBIiCiAIBCocCgtBQUFCdDZaOTN6ZxAIGgtBQUFCdDZaOTN6ZxonCgExEiIKIAgEKhwKC0FBQUJ0Nlo5M3pnEAgaC0FBQUJ1dC1qZng4GicKATISIgogCAQqHAoLQUFBQnQ2WjkzemsQCBoLQUFBQnQ2WjkzemsaJwoBMxIiCiAIBCocCgtBQUFCdDZaOTN6axAIGgtBQUFCdXQtamZ4dxonCgE0EiIKIAgEKhwKC0FBQUJ3dks0SDhVEAgaC0FBQUJ3dks0SDhVGicKATUSIgogCAQqHAoLQUFBQnd2SzRIOFUQCBoLQUFBQnd3d3g1aEE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4CA1091-257E-4563-B528-DFF21234D6FE}">
  <ds:schemaRefs>
    <ds:schemaRef ds:uri="http://schemas.openxmlformats.org/officeDocument/2006/bibliography"/>
  </ds:schemaRefs>
</ds:datastoreItem>
</file>

<file path=docMetadata/LabelInfo.xml><?xml version="1.0" encoding="utf-8"?>
<clbl:labelList xmlns:clbl="http://schemas.microsoft.com/office/2020/mipLabelMetadata">
  <clbl:label id="{69c428b0-0db1-4300-b2dd-9484759bca92}" enabled="1" method="Standard" siteId="{57952406-af28-43c8-b4de-a4e06f57476d}" contentBits="0" removed="0"/>
</clbl:labelList>
</file>

<file path=docProps/app.xml><?xml version="1.0" encoding="utf-8"?>
<Properties xmlns="http://schemas.openxmlformats.org/officeDocument/2006/extended-properties" xmlns:vt="http://schemas.openxmlformats.org/officeDocument/2006/docPropsVTypes">
  <Template>Normal.dotm</Template>
  <TotalTime>365</TotalTime>
  <Pages>25</Pages>
  <Words>10391</Words>
  <Characters>59233</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Preeti Sharma</dc:creator>
  <cp:lastModifiedBy>Reviewer</cp:lastModifiedBy>
  <cp:revision>44</cp:revision>
  <dcterms:created xsi:type="dcterms:W3CDTF">2025-12-23T03:55:00Z</dcterms:created>
  <dcterms:modified xsi:type="dcterms:W3CDTF">2026-01-04T06:05:00Z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01ba7176-c80b-336d-a11e-d8fa6090a56b</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